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0CF6" w14:textId="77777777" w:rsidR="00552A80" w:rsidRPr="00690C66" w:rsidRDefault="009562A4" w:rsidP="00690C66">
      <w:pPr>
        <w:pStyle w:val="Title"/>
      </w:pPr>
      <w:r w:rsidRPr="00690C66">
        <w:t>Foundry Healthcare Model</w:t>
      </w:r>
    </w:p>
    <w:p w14:paraId="036A01D4" w14:textId="77777777" w:rsidR="009562A4" w:rsidRDefault="009562A4" w:rsidP="00690C66"/>
    <w:p w14:paraId="14D4C7EF" w14:textId="77777777" w:rsidR="009562A4" w:rsidRDefault="009562A4" w:rsidP="00690C66">
      <w:pPr>
        <w:pStyle w:val="Heading1"/>
      </w:pPr>
      <w:r>
        <w:t>Digital Standard Operating Procedure</w:t>
      </w:r>
    </w:p>
    <w:p w14:paraId="4206CBDA" w14:textId="77777777" w:rsidR="009562A4" w:rsidRDefault="009562A4" w:rsidP="00690C66"/>
    <w:p w14:paraId="19C75499" w14:textId="77777777" w:rsidR="009562A4" w:rsidRPr="00690C66" w:rsidRDefault="009562A4" w:rsidP="00690C66">
      <w:pPr>
        <w:pStyle w:val="Heading1"/>
        <w:jc w:val="left"/>
      </w:pPr>
      <w:r w:rsidRPr="00690C66">
        <w:t>RAG Rating</w:t>
      </w:r>
      <w:r w:rsidR="00690C66">
        <w:t xml:space="preserve"> of Patients</w:t>
      </w:r>
    </w:p>
    <w:p w14:paraId="0F05225D" w14:textId="77777777" w:rsidR="009562A4" w:rsidRDefault="009562A4" w:rsidP="00690C66"/>
    <w:p w14:paraId="530406C7" w14:textId="77777777" w:rsidR="00D100AE" w:rsidRDefault="00D100AE" w:rsidP="00690C66">
      <w:r>
        <w:rPr>
          <w:noProof/>
        </w:rPr>
        <w:drawing>
          <wp:inline distT="0" distB="0" distL="0" distR="0" wp14:anchorId="76E1B887" wp14:editId="4C70FE91">
            <wp:extent cx="5486400" cy="3200400"/>
            <wp:effectExtent l="0" t="0" r="0" b="127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84D496" w14:textId="77777777" w:rsidR="00D100AE" w:rsidRDefault="00D100AE" w:rsidP="00690C66"/>
    <w:p w14:paraId="6EDC6597" w14:textId="77777777" w:rsidR="00690C66" w:rsidRDefault="00690C66" w:rsidP="00690C66">
      <w:r>
        <w:t>The key to the RAG rating of patients is that it is a clinician-lead decision made decision based on the level of continuity that you feel that patient needs. This is based on the template that pops up at the end of each consultation and asks the clinician to review their current categorisation and whether this is currently correct. When introducing this system for the first time there are two options:</w:t>
      </w:r>
    </w:p>
    <w:p w14:paraId="18324FAA" w14:textId="77777777" w:rsidR="00E31421" w:rsidRDefault="00690C66" w:rsidP="00690C66">
      <w:pPr>
        <w:pStyle w:val="ListParagraph"/>
        <w:numPr>
          <w:ilvl w:val="0"/>
          <w:numId w:val="1"/>
        </w:numPr>
      </w:pPr>
      <w:r>
        <w:t xml:space="preserve">Introduce the pop up and the end of the consultation and </w:t>
      </w:r>
      <w:r w:rsidR="00E31421">
        <w:t xml:space="preserve">then run this system for 3-6 months. At the end of this time then code everyone who does not have any RAG code </w:t>
      </w:r>
      <w:r w:rsidR="00E31421">
        <w:lastRenderedPageBreak/>
        <w:t xml:space="preserve">as Green. This might mean that some Amber patients who have not been seen in 3-6 months are mis-coded as Green but in time they will be seen and the RAG categorisation will improve. </w:t>
      </w:r>
    </w:p>
    <w:p w14:paraId="5D26DF55" w14:textId="77777777" w:rsidR="00E31421" w:rsidRDefault="00E31421" w:rsidP="00690C66">
      <w:pPr>
        <w:pStyle w:val="ListParagraph"/>
        <w:numPr>
          <w:ilvl w:val="0"/>
          <w:numId w:val="1"/>
        </w:numPr>
      </w:pPr>
      <w:r>
        <w:t>Choose a particular search e.g. number of Long Term Conditions, Frailty codes, Electronic Frailty Index or combination of searches and set the RAG categories based on particular criteria within these searches. This will not be as accurate as the clinician-led pop up at the end of the consultation but once you have done this then you can set up the pop-up and over 3-12 months the RAG categorisation will get more accurate.</w:t>
      </w:r>
    </w:p>
    <w:p w14:paraId="3752B105" w14:textId="1B8FC523" w:rsidR="00E31421" w:rsidRDefault="00E31421" w:rsidP="00E31421">
      <w:pPr>
        <w:pStyle w:val="Heading2"/>
        <w:jc w:val="left"/>
      </w:pPr>
      <w:r>
        <w:t>Technical Guide</w:t>
      </w:r>
    </w:p>
    <w:p w14:paraId="15D2184B" w14:textId="77777777" w:rsidR="00D11EC8" w:rsidRDefault="00D11EC8" w:rsidP="00E31421">
      <w:pPr>
        <w:pStyle w:val="Heading4"/>
      </w:pPr>
    </w:p>
    <w:p w14:paraId="00ADCEE9" w14:textId="59EAD6F6" w:rsidR="00D11EC8" w:rsidRDefault="00E31421" w:rsidP="00D11EC8">
      <w:pPr>
        <w:pStyle w:val="Heading1"/>
      </w:pPr>
      <w:r>
        <w:t xml:space="preserve">Systmone </w:t>
      </w:r>
    </w:p>
    <w:p w14:paraId="7704AAF1" w14:textId="77777777" w:rsidR="00D11EC8" w:rsidRDefault="00D11EC8" w:rsidP="00D11EC8">
      <w:pPr>
        <w:pStyle w:val="Heading5"/>
      </w:pPr>
    </w:p>
    <w:p w14:paraId="58F2012E" w14:textId="66FE807F" w:rsidR="00D11EC8" w:rsidRDefault="00D11EC8" w:rsidP="00D11EC8">
      <w:r>
        <w:t>The</w:t>
      </w:r>
      <w:r w:rsidR="00226D82">
        <w:t xml:space="preserve"> building blocks of the</w:t>
      </w:r>
      <w:r>
        <w:t xml:space="preserve"> RAG rating </w:t>
      </w:r>
      <w:r w:rsidR="00226D82">
        <w:t>system are:</w:t>
      </w:r>
    </w:p>
    <w:p w14:paraId="4FA5CC8A" w14:textId="44330805" w:rsidR="00D11EC8" w:rsidRDefault="00D11EC8" w:rsidP="00D11EC8">
      <w:r>
        <w:rPr>
          <w:noProof/>
        </w:rPr>
        <w:drawing>
          <wp:inline distT="0" distB="0" distL="0" distR="0" wp14:anchorId="74C78E77" wp14:editId="029C5DBF">
            <wp:extent cx="5486400" cy="3200400"/>
            <wp:effectExtent l="38100" t="0" r="127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2D2383" w14:textId="1C288138" w:rsidR="00654509" w:rsidRDefault="00D11EC8" w:rsidP="00D11EC8">
      <w:pPr>
        <w:pStyle w:val="Heading5"/>
      </w:pPr>
      <w:r>
        <w:t xml:space="preserve">RAG </w:t>
      </w:r>
      <w:r w:rsidR="00654509">
        <w:t>Read codes:</w:t>
      </w:r>
    </w:p>
    <w:p w14:paraId="6A5F9138" w14:textId="77777777" w:rsidR="00D11EC8" w:rsidRPr="00D11EC8" w:rsidRDefault="00D11EC8" w:rsidP="00D11EC8"/>
    <w:tbl>
      <w:tblPr>
        <w:tblStyle w:val="TableGrid"/>
        <w:tblW w:w="0" w:type="auto"/>
        <w:tblLook w:val="04A0" w:firstRow="1" w:lastRow="0" w:firstColumn="1" w:lastColumn="0" w:noHBand="0" w:noVBand="1"/>
      </w:tblPr>
      <w:tblGrid>
        <w:gridCol w:w="1129"/>
        <w:gridCol w:w="4678"/>
        <w:gridCol w:w="1701"/>
        <w:gridCol w:w="1508"/>
      </w:tblGrid>
      <w:tr w:rsidR="00654509" w14:paraId="40D493AC" w14:textId="77777777" w:rsidTr="00D11EC8">
        <w:tc>
          <w:tcPr>
            <w:tcW w:w="1129" w:type="dxa"/>
          </w:tcPr>
          <w:p w14:paraId="77A0DC12" w14:textId="77777777" w:rsidR="00654509" w:rsidRDefault="00654509" w:rsidP="00690C66"/>
        </w:tc>
        <w:tc>
          <w:tcPr>
            <w:tcW w:w="4678" w:type="dxa"/>
          </w:tcPr>
          <w:p w14:paraId="712796DF" w14:textId="6ACA21D7" w:rsidR="00654509" w:rsidRDefault="00654509" w:rsidP="00690C66">
            <w:r>
              <w:t>Code Description</w:t>
            </w:r>
          </w:p>
        </w:tc>
        <w:tc>
          <w:tcPr>
            <w:tcW w:w="1701" w:type="dxa"/>
          </w:tcPr>
          <w:p w14:paraId="16D3DE6D" w14:textId="71E3028C" w:rsidR="00654509" w:rsidRDefault="00654509" w:rsidP="00690C66">
            <w:r>
              <w:t>SNOMED</w:t>
            </w:r>
          </w:p>
        </w:tc>
        <w:tc>
          <w:tcPr>
            <w:tcW w:w="1508" w:type="dxa"/>
          </w:tcPr>
          <w:p w14:paraId="5908C759" w14:textId="09249F9B" w:rsidR="00654509" w:rsidRDefault="00654509" w:rsidP="00690C66">
            <w:r>
              <w:t>CTV3 Code</w:t>
            </w:r>
          </w:p>
        </w:tc>
      </w:tr>
      <w:tr w:rsidR="00654509" w14:paraId="71A8B7CE" w14:textId="77777777" w:rsidTr="00D11EC8">
        <w:tc>
          <w:tcPr>
            <w:tcW w:w="1129" w:type="dxa"/>
            <w:shd w:val="clear" w:color="auto" w:fill="00B050"/>
          </w:tcPr>
          <w:p w14:paraId="6003BB9F" w14:textId="5DC53D0B" w:rsidR="00654509" w:rsidRPr="00D11EC8" w:rsidRDefault="00654509" w:rsidP="00690C66">
            <w:pPr>
              <w:rPr>
                <w:b/>
                <w:color w:val="FFFFFF" w:themeColor="background1"/>
              </w:rPr>
            </w:pPr>
            <w:r w:rsidRPr="00D11EC8">
              <w:rPr>
                <w:b/>
                <w:color w:val="FFFFFF" w:themeColor="background1"/>
              </w:rPr>
              <w:t>Green</w:t>
            </w:r>
          </w:p>
        </w:tc>
        <w:tc>
          <w:tcPr>
            <w:tcW w:w="4678" w:type="dxa"/>
            <w:shd w:val="clear" w:color="auto" w:fill="00B050"/>
          </w:tcPr>
          <w:p w14:paraId="0A41A765" w14:textId="00402E71" w:rsidR="00654509" w:rsidRPr="00D11EC8" w:rsidRDefault="00654509" w:rsidP="00690C66">
            <w:pPr>
              <w:rPr>
                <w:b/>
                <w:color w:val="FFFFFF" w:themeColor="background1"/>
              </w:rPr>
            </w:pPr>
            <w:r w:rsidRPr="00D11EC8">
              <w:rPr>
                <w:b/>
                <w:color w:val="FFFFFF" w:themeColor="background1"/>
              </w:rPr>
              <w:t>General health good</w:t>
            </w:r>
          </w:p>
        </w:tc>
        <w:tc>
          <w:tcPr>
            <w:tcW w:w="1701" w:type="dxa"/>
            <w:shd w:val="clear" w:color="auto" w:fill="00B050"/>
          </w:tcPr>
          <w:p w14:paraId="13BF7EFF" w14:textId="426AC1BD" w:rsidR="00654509" w:rsidRPr="00D11EC8" w:rsidRDefault="00654509" w:rsidP="00690C66">
            <w:pPr>
              <w:rPr>
                <w:b/>
                <w:color w:val="FFFFFF" w:themeColor="background1"/>
              </w:rPr>
            </w:pPr>
            <w:r w:rsidRPr="00D11EC8">
              <w:rPr>
                <w:b/>
                <w:color w:val="FFFFFF" w:themeColor="background1"/>
              </w:rPr>
              <w:t>135815002</w:t>
            </w:r>
          </w:p>
        </w:tc>
        <w:tc>
          <w:tcPr>
            <w:tcW w:w="1508" w:type="dxa"/>
            <w:shd w:val="clear" w:color="auto" w:fill="00B050"/>
          </w:tcPr>
          <w:p w14:paraId="3477C40B" w14:textId="766225F0" w:rsidR="00654509" w:rsidRPr="00D11EC8" w:rsidRDefault="00654509" w:rsidP="00690C66">
            <w:pPr>
              <w:rPr>
                <w:b/>
                <w:color w:val="FFFFFF" w:themeColor="background1"/>
              </w:rPr>
            </w:pPr>
            <w:r w:rsidRPr="00D11EC8">
              <w:rPr>
                <w:b/>
                <w:color w:val="FFFFFF" w:themeColor="background1"/>
              </w:rPr>
              <w:t>XalMt</w:t>
            </w:r>
          </w:p>
        </w:tc>
      </w:tr>
      <w:tr w:rsidR="00654509" w14:paraId="7ACE2E41" w14:textId="77777777" w:rsidTr="00D11EC8">
        <w:tc>
          <w:tcPr>
            <w:tcW w:w="1129" w:type="dxa"/>
            <w:shd w:val="clear" w:color="auto" w:fill="FFC000"/>
          </w:tcPr>
          <w:p w14:paraId="70A0438F" w14:textId="43B48502" w:rsidR="00654509" w:rsidRPr="00D11EC8" w:rsidRDefault="00654509" w:rsidP="00690C66">
            <w:pPr>
              <w:rPr>
                <w:b/>
                <w:color w:val="FFFFFF" w:themeColor="background1"/>
              </w:rPr>
            </w:pPr>
            <w:r w:rsidRPr="00D11EC8">
              <w:rPr>
                <w:b/>
                <w:color w:val="FFFFFF" w:themeColor="background1"/>
              </w:rPr>
              <w:t>Amber</w:t>
            </w:r>
          </w:p>
        </w:tc>
        <w:tc>
          <w:tcPr>
            <w:tcW w:w="4678" w:type="dxa"/>
            <w:shd w:val="clear" w:color="auto" w:fill="FFC000"/>
          </w:tcPr>
          <w:p w14:paraId="4F4CAA2D" w14:textId="17B30931" w:rsidR="00654509" w:rsidRPr="00D11EC8" w:rsidRDefault="00654509" w:rsidP="00690C66">
            <w:pPr>
              <w:rPr>
                <w:b/>
                <w:color w:val="FFFFFF" w:themeColor="background1"/>
              </w:rPr>
            </w:pPr>
            <w:r w:rsidRPr="00D11EC8">
              <w:rPr>
                <w:b/>
                <w:color w:val="FFFFFF" w:themeColor="background1"/>
              </w:rPr>
              <w:t>Chronic long term disease management required</w:t>
            </w:r>
          </w:p>
        </w:tc>
        <w:tc>
          <w:tcPr>
            <w:tcW w:w="1701" w:type="dxa"/>
            <w:shd w:val="clear" w:color="auto" w:fill="FFC000"/>
          </w:tcPr>
          <w:p w14:paraId="4B296979" w14:textId="678D72A7" w:rsidR="00654509" w:rsidRPr="00D11EC8" w:rsidRDefault="00654509" w:rsidP="00690C66">
            <w:pPr>
              <w:rPr>
                <w:b/>
                <w:color w:val="FFFFFF" w:themeColor="background1"/>
              </w:rPr>
            </w:pPr>
            <w:r w:rsidRPr="00D11EC8">
              <w:rPr>
                <w:b/>
                <w:color w:val="FFFFFF" w:themeColor="background1"/>
              </w:rPr>
              <w:t>416239002</w:t>
            </w:r>
          </w:p>
        </w:tc>
        <w:tc>
          <w:tcPr>
            <w:tcW w:w="1508" w:type="dxa"/>
            <w:shd w:val="clear" w:color="auto" w:fill="FFC000"/>
          </w:tcPr>
          <w:p w14:paraId="0EC01ABB" w14:textId="5DE4651C" w:rsidR="00654509" w:rsidRPr="00D11EC8" w:rsidRDefault="00654509" w:rsidP="00690C66">
            <w:pPr>
              <w:rPr>
                <w:b/>
                <w:color w:val="FFFFFF" w:themeColor="background1"/>
              </w:rPr>
            </w:pPr>
            <w:r w:rsidRPr="00D11EC8">
              <w:rPr>
                <w:b/>
                <w:color w:val="FFFFFF" w:themeColor="background1"/>
              </w:rPr>
              <w:t>XaKdU</w:t>
            </w:r>
          </w:p>
        </w:tc>
      </w:tr>
      <w:tr w:rsidR="00654509" w14:paraId="5FA72FBB" w14:textId="77777777" w:rsidTr="00D11EC8">
        <w:tc>
          <w:tcPr>
            <w:tcW w:w="1129" w:type="dxa"/>
            <w:shd w:val="clear" w:color="auto" w:fill="FF0000"/>
          </w:tcPr>
          <w:p w14:paraId="52D167E7" w14:textId="37C54D68" w:rsidR="00654509" w:rsidRPr="00D11EC8" w:rsidRDefault="00654509" w:rsidP="00690C66">
            <w:pPr>
              <w:rPr>
                <w:b/>
                <w:color w:val="FFFFFF" w:themeColor="background1"/>
              </w:rPr>
            </w:pPr>
            <w:r w:rsidRPr="00D11EC8">
              <w:rPr>
                <w:b/>
                <w:color w:val="FFFFFF" w:themeColor="background1"/>
              </w:rPr>
              <w:lastRenderedPageBreak/>
              <w:t>Red</w:t>
            </w:r>
          </w:p>
        </w:tc>
        <w:tc>
          <w:tcPr>
            <w:tcW w:w="4678" w:type="dxa"/>
            <w:shd w:val="clear" w:color="auto" w:fill="FF0000"/>
          </w:tcPr>
          <w:p w14:paraId="468BDF29" w14:textId="6BF55C28" w:rsidR="00654509" w:rsidRPr="00D11EC8" w:rsidRDefault="00D11EC8" w:rsidP="00690C66">
            <w:pPr>
              <w:rPr>
                <w:b/>
                <w:color w:val="FFFFFF" w:themeColor="background1"/>
              </w:rPr>
            </w:pPr>
            <w:r w:rsidRPr="00D11EC8">
              <w:rPr>
                <w:b/>
                <w:color w:val="FFFFFF" w:themeColor="background1"/>
              </w:rPr>
              <w:t>Chronic long term disease management required: complex needs</w:t>
            </w:r>
          </w:p>
        </w:tc>
        <w:tc>
          <w:tcPr>
            <w:tcW w:w="1701" w:type="dxa"/>
            <w:shd w:val="clear" w:color="auto" w:fill="FF0000"/>
          </w:tcPr>
          <w:p w14:paraId="7EFD045A" w14:textId="296AE02F" w:rsidR="00654509" w:rsidRPr="00D11EC8" w:rsidRDefault="00D11EC8" w:rsidP="00690C66">
            <w:pPr>
              <w:rPr>
                <w:b/>
                <w:color w:val="FFFFFF" w:themeColor="background1"/>
              </w:rPr>
            </w:pPr>
            <w:r w:rsidRPr="00D11EC8">
              <w:rPr>
                <w:b/>
                <w:color w:val="FFFFFF" w:themeColor="background1"/>
              </w:rPr>
              <w:t>416357003</w:t>
            </w:r>
          </w:p>
        </w:tc>
        <w:tc>
          <w:tcPr>
            <w:tcW w:w="1508" w:type="dxa"/>
            <w:shd w:val="clear" w:color="auto" w:fill="FF0000"/>
          </w:tcPr>
          <w:p w14:paraId="4B9CF671" w14:textId="5BF05DD1" w:rsidR="00654509" w:rsidRPr="00D11EC8" w:rsidRDefault="00D11EC8" w:rsidP="00690C66">
            <w:pPr>
              <w:rPr>
                <w:b/>
                <w:color w:val="FFFFFF" w:themeColor="background1"/>
              </w:rPr>
            </w:pPr>
            <w:r w:rsidRPr="00D11EC8">
              <w:rPr>
                <w:b/>
                <w:color w:val="FFFFFF" w:themeColor="background1"/>
              </w:rPr>
              <w:t>XaKdV</w:t>
            </w:r>
          </w:p>
        </w:tc>
      </w:tr>
    </w:tbl>
    <w:p w14:paraId="600AACD1" w14:textId="40D03AD6" w:rsidR="00D11EC8" w:rsidRDefault="00D11EC8" w:rsidP="00690C66"/>
    <w:p w14:paraId="3F09CFBE" w14:textId="7FCDBD92" w:rsidR="005F4C42" w:rsidRDefault="00654509" w:rsidP="00D11EC8">
      <w:pPr>
        <w:pStyle w:val="Heading5"/>
      </w:pPr>
      <w:r>
        <w:t xml:space="preserve">Clinical Template: </w:t>
      </w:r>
    </w:p>
    <w:p w14:paraId="12EE9628" w14:textId="77777777" w:rsidR="00D11EC8" w:rsidRPr="00D11EC8" w:rsidRDefault="00D11EC8" w:rsidP="00D11EC8"/>
    <w:p w14:paraId="25E1C348" w14:textId="7A94C1C0" w:rsidR="005F4C42" w:rsidRDefault="00EE5853" w:rsidP="00690C66">
      <w:r>
        <w:rPr>
          <w:noProof/>
        </w:rPr>
        <w:drawing>
          <wp:inline distT="0" distB="0" distL="0" distR="0" wp14:anchorId="37D9D611" wp14:editId="2B4260A3">
            <wp:extent cx="5731510" cy="3976370"/>
            <wp:effectExtent l="0" t="0" r="254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2-07-06 162814.png"/>
                    <pic:cNvPicPr/>
                  </pic:nvPicPr>
                  <pic:blipFill>
                    <a:blip r:embed="rId18">
                      <a:extLst>
                        <a:ext uri="{28A0092B-C50C-407E-A947-70E740481C1C}">
                          <a14:useLocalDpi xmlns:a14="http://schemas.microsoft.com/office/drawing/2010/main" val="0"/>
                        </a:ext>
                      </a:extLst>
                    </a:blip>
                    <a:stretch>
                      <a:fillRect/>
                    </a:stretch>
                  </pic:blipFill>
                  <pic:spPr>
                    <a:xfrm>
                      <a:off x="0" y="0"/>
                      <a:ext cx="5731510" cy="3976370"/>
                    </a:xfrm>
                    <a:prstGeom prst="rect">
                      <a:avLst/>
                    </a:prstGeom>
                  </pic:spPr>
                </pic:pic>
              </a:graphicData>
            </a:graphic>
          </wp:inline>
        </w:drawing>
      </w:r>
    </w:p>
    <w:p w14:paraId="7C0FBBDA" w14:textId="73AFC3AF" w:rsidR="00226D82" w:rsidRDefault="00D964A4" w:rsidP="00690C66">
      <w:r>
        <w:t>There is one version of this template for each of the RAG Categories</w:t>
      </w:r>
    </w:p>
    <w:p w14:paraId="5C50DCA6" w14:textId="77777777" w:rsidR="00D964A4" w:rsidRDefault="00D964A4" w:rsidP="00226D82">
      <w:pPr>
        <w:pStyle w:val="Heading5"/>
      </w:pPr>
    </w:p>
    <w:p w14:paraId="1B994641" w14:textId="38F2F940" w:rsidR="00226D82" w:rsidRDefault="00226D82" w:rsidP="00226D82">
      <w:pPr>
        <w:pStyle w:val="Heading5"/>
      </w:pPr>
      <w:r>
        <w:t>Clinical Reports</w:t>
      </w:r>
    </w:p>
    <w:p w14:paraId="1901EFAF" w14:textId="7A54D4A7" w:rsidR="00226D82" w:rsidRDefault="00226D82" w:rsidP="00226D82"/>
    <w:p w14:paraId="5929EDBD" w14:textId="77777777" w:rsidR="00226D82" w:rsidRDefault="00226D82" w:rsidP="00226D82">
      <w:r>
        <w:t>The clinical reports for each RAG group are setup to search for one of the RAG read codes without a more recent addition of one of the other two RAG read codes:</w:t>
      </w:r>
    </w:p>
    <w:p w14:paraId="62A76DF8" w14:textId="0AD84744" w:rsidR="00654509" w:rsidRDefault="00226D82" w:rsidP="00690C66">
      <w:r w:rsidRPr="00226D82">
        <w:rPr>
          <w:noProof/>
        </w:rPr>
        <w:lastRenderedPageBreak/>
        <w:drawing>
          <wp:inline distT="0" distB="0" distL="0" distR="0" wp14:anchorId="09A0F5A0" wp14:editId="63A439BB">
            <wp:extent cx="5731510" cy="41827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182745"/>
                    </a:xfrm>
                    <a:prstGeom prst="rect">
                      <a:avLst/>
                    </a:prstGeom>
                  </pic:spPr>
                </pic:pic>
              </a:graphicData>
            </a:graphic>
          </wp:inline>
        </w:drawing>
      </w:r>
      <w:r>
        <w:t xml:space="preserve"> </w:t>
      </w:r>
    </w:p>
    <w:p w14:paraId="47649087" w14:textId="2E47A3C2" w:rsidR="00654509" w:rsidRDefault="00654509" w:rsidP="00690C66"/>
    <w:p w14:paraId="0D6227BD" w14:textId="0BE1012F" w:rsidR="00226D82" w:rsidRDefault="00226D82" w:rsidP="00226D82">
      <w:pPr>
        <w:pStyle w:val="Heading5"/>
      </w:pPr>
      <w:r>
        <w:t>Protocol</w:t>
      </w:r>
    </w:p>
    <w:p w14:paraId="51F72C09" w14:textId="12612572" w:rsidR="00226D82" w:rsidRDefault="00226D82" w:rsidP="00226D82"/>
    <w:p w14:paraId="33E64787" w14:textId="40A7B52C" w:rsidR="00226D82" w:rsidRDefault="00226D82" w:rsidP="00226D82">
      <w:r>
        <w:t>The template pops up at the end of a consultation based on a protocol within Systmo</w:t>
      </w:r>
      <w:r w:rsidR="00D964A4">
        <w:t>ne that searches for which patient the group the patient belongs to in the clinical reports above and then launch the template relevant for that clinical group.</w:t>
      </w:r>
    </w:p>
    <w:p w14:paraId="7A004A52" w14:textId="27A624D0" w:rsidR="00D964A4" w:rsidRPr="00226D82" w:rsidRDefault="00D964A4" w:rsidP="00226D82">
      <w:r w:rsidRPr="00D964A4">
        <w:rPr>
          <w:noProof/>
        </w:rPr>
        <w:drawing>
          <wp:inline distT="0" distB="0" distL="0" distR="0" wp14:anchorId="2BDF19DA" wp14:editId="64D58900">
            <wp:extent cx="5731510" cy="144970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1449705"/>
                    </a:xfrm>
                    <a:prstGeom prst="rect">
                      <a:avLst/>
                    </a:prstGeom>
                  </pic:spPr>
                </pic:pic>
              </a:graphicData>
            </a:graphic>
          </wp:inline>
        </w:drawing>
      </w:r>
    </w:p>
    <w:p w14:paraId="670279AC" w14:textId="62600934" w:rsidR="002F0525" w:rsidRDefault="00D964A4" w:rsidP="00D964A4">
      <w:pPr>
        <w:pStyle w:val="Heading5"/>
      </w:pPr>
      <w:r>
        <w:t>Patient Status Alert</w:t>
      </w:r>
    </w:p>
    <w:p w14:paraId="6502B7B7" w14:textId="77777777" w:rsidR="002F0525" w:rsidRDefault="002F0525" w:rsidP="00690C66"/>
    <w:p w14:paraId="08BA9440" w14:textId="4D956C03" w:rsidR="00750242" w:rsidRDefault="00D964A4" w:rsidP="00690C66">
      <w:r>
        <w:t xml:space="preserve">The </w:t>
      </w:r>
      <w:r w:rsidR="00F37A28">
        <w:t>patient’s</w:t>
      </w:r>
      <w:r>
        <w:t xml:space="preserve"> record is then labelled using a Patient Status Alert that based on the Clinical Reports outlined above</w:t>
      </w:r>
      <w:r w:rsidR="00571F4C">
        <w:t>:</w:t>
      </w:r>
    </w:p>
    <w:p w14:paraId="63AD2535" w14:textId="6B69085E" w:rsidR="00571F4C" w:rsidRDefault="00571F4C" w:rsidP="00690C66">
      <w:r w:rsidRPr="00571F4C">
        <w:rPr>
          <w:noProof/>
        </w:rPr>
        <w:lastRenderedPageBreak/>
        <w:drawing>
          <wp:inline distT="0" distB="0" distL="0" distR="0" wp14:anchorId="3BA734CF" wp14:editId="18A1BAA6">
            <wp:extent cx="5273497" cy="4694327"/>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73497" cy="4694327"/>
                    </a:xfrm>
                    <a:prstGeom prst="rect">
                      <a:avLst/>
                    </a:prstGeom>
                  </pic:spPr>
                </pic:pic>
              </a:graphicData>
            </a:graphic>
          </wp:inline>
        </w:drawing>
      </w:r>
    </w:p>
    <w:p w14:paraId="0938E0B8" w14:textId="0D423A1F" w:rsidR="00571F4C" w:rsidRDefault="00571F4C" w:rsidP="00690C66">
      <w:r>
        <w:t>This then shows up on the patient record home page:</w:t>
      </w:r>
    </w:p>
    <w:p w14:paraId="117CBDF9" w14:textId="5CD63CAB" w:rsidR="00571F4C" w:rsidRDefault="00571F4C" w:rsidP="00690C66">
      <w:r w:rsidRPr="00571F4C">
        <w:rPr>
          <w:noProof/>
        </w:rPr>
        <w:drawing>
          <wp:inline distT="0" distB="0" distL="0" distR="0" wp14:anchorId="21E26090" wp14:editId="4F000E87">
            <wp:extent cx="5731510" cy="314325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143250"/>
                    </a:xfrm>
                    <a:prstGeom prst="rect">
                      <a:avLst/>
                    </a:prstGeom>
                  </pic:spPr>
                </pic:pic>
              </a:graphicData>
            </a:graphic>
          </wp:inline>
        </w:drawing>
      </w:r>
    </w:p>
    <w:p w14:paraId="4DE88B05" w14:textId="77777777" w:rsidR="00750242" w:rsidRDefault="00750242" w:rsidP="00690C66"/>
    <w:sectPr w:rsidR="00750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0029C"/>
    <w:multiLevelType w:val="hybridMultilevel"/>
    <w:tmpl w:val="9B208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4923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A4"/>
    <w:rsid w:val="00226D82"/>
    <w:rsid w:val="002F0525"/>
    <w:rsid w:val="003A6544"/>
    <w:rsid w:val="004B767F"/>
    <w:rsid w:val="00552A80"/>
    <w:rsid w:val="00555A35"/>
    <w:rsid w:val="00571F4C"/>
    <w:rsid w:val="005F4C42"/>
    <w:rsid w:val="00621CB2"/>
    <w:rsid w:val="00654509"/>
    <w:rsid w:val="00690C66"/>
    <w:rsid w:val="006F78DD"/>
    <w:rsid w:val="00750242"/>
    <w:rsid w:val="009562A4"/>
    <w:rsid w:val="00B3149D"/>
    <w:rsid w:val="00D100AE"/>
    <w:rsid w:val="00D11EC8"/>
    <w:rsid w:val="00D964A4"/>
    <w:rsid w:val="00E31421"/>
    <w:rsid w:val="00EE5853"/>
    <w:rsid w:val="00F37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E264"/>
  <w15:chartTrackingRefBased/>
  <w15:docId w15:val="{FD645F9B-5488-430C-B092-3DFF4313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66"/>
    <w:rPr>
      <w:rFonts w:ascii="Calibri Light" w:hAnsi="Calibri Light"/>
      <w:sz w:val="24"/>
      <w:szCs w:val="24"/>
    </w:rPr>
  </w:style>
  <w:style w:type="paragraph" w:styleId="Heading1">
    <w:name w:val="heading 1"/>
    <w:basedOn w:val="Normal"/>
    <w:next w:val="Normal"/>
    <w:link w:val="Heading1Char"/>
    <w:uiPriority w:val="9"/>
    <w:qFormat/>
    <w:rsid w:val="00690C66"/>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90C6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690C6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690C6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690C6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90C6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90C66"/>
    <w:pPr>
      <w:keepNext/>
      <w:keepLines/>
      <w:spacing w:before="40" w:after="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690C6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90C6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90C6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690C6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690C6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690C6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90C6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90C6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90C6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90C66"/>
    <w:rPr>
      <w:b/>
      <w:bCs/>
      <w:i/>
      <w:iCs/>
    </w:rPr>
  </w:style>
  <w:style w:type="paragraph" w:styleId="Title">
    <w:name w:val="Title"/>
    <w:basedOn w:val="Normal"/>
    <w:next w:val="Normal"/>
    <w:link w:val="TitleChar"/>
    <w:uiPriority w:val="10"/>
    <w:qFormat/>
    <w:rsid w:val="00690C66"/>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690C66"/>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690C66"/>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690C66"/>
    <w:rPr>
      <w:color w:val="1F497D" w:themeColor="text2"/>
      <w:sz w:val="28"/>
      <w:szCs w:val="28"/>
    </w:rPr>
  </w:style>
  <w:style w:type="character" w:styleId="Strong">
    <w:name w:val="Strong"/>
    <w:basedOn w:val="DefaultParagraphFont"/>
    <w:uiPriority w:val="22"/>
    <w:qFormat/>
    <w:rsid w:val="00690C66"/>
    <w:rPr>
      <w:b/>
      <w:bCs/>
    </w:rPr>
  </w:style>
  <w:style w:type="character" w:styleId="Emphasis">
    <w:name w:val="Emphasis"/>
    <w:basedOn w:val="DefaultParagraphFont"/>
    <w:uiPriority w:val="20"/>
    <w:qFormat/>
    <w:rsid w:val="00690C66"/>
    <w:rPr>
      <w:i/>
      <w:iCs/>
      <w:color w:val="000000" w:themeColor="text1"/>
    </w:rPr>
  </w:style>
  <w:style w:type="paragraph" w:styleId="NoSpacing">
    <w:name w:val="No Spacing"/>
    <w:uiPriority w:val="1"/>
    <w:qFormat/>
    <w:rsid w:val="00690C66"/>
    <w:pPr>
      <w:spacing w:after="0" w:line="240" w:lineRule="auto"/>
    </w:p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90C66"/>
    <w:pPr>
      <w:spacing w:before="160"/>
      <w:ind w:left="720" w:right="720"/>
      <w:jc w:val="center"/>
    </w:pPr>
    <w:rPr>
      <w:i/>
      <w:iCs/>
      <w:color w:val="76923C" w:themeColor="accent3" w:themeShade="BF"/>
    </w:rPr>
  </w:style>
  <w:style w:type="character" w:customStyle="1" w:styleId="QuoteChar">
    <w:name w:val="Quote Char"/>
    <w:basedOn w:val="DefaultParagraphFont"/>
    <w:link w:val="Quote"/>
    <w:uiPriority w:val="29"/>
    <w:rsid w:val="00690C66"/>
    <w:rPr>
      <w:i/>
      <w:iCs/>
      <w:color w:val="76923C" w:themeColor="accent3" w:themeShade="BF"/>
      <w:sz w:val="24"/>
      <w:szCs w:val="24"/>
    </w:rPr>
  </w:style>
  <w:style w:type="paragraph" w:styleId="IntenseQuote">
    <w:name w:val="Intense Quote"/>
    <w:basedOn w:val="Normal"/>
    <w:next w:val="Normal"/>
    <w:link w:val="IntenseQuoteChar"/>
    <w:uiPriority w:val="30"/>
    <w:qFormat/>
    <w:rsid w:val="00690C66"/>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690C66"/>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690C66"/>
    <w:rPr>
      <w:i/>
      <w:iCs/>
      <w:color w:val="595959" w:themeColor="text1" w:themeTint="A6"/>
    </w:rPr>
  </w:style>
  <w:style w:type="character" w:styleId="IntenseEmphasis">
    <w:name w:val="Intense Emphasis"/>
    <w:basedOn w:val="DefaultParagraphFont"/>
    <w:uiPriority w:val="21"/>
    <w:qFormat/>
    <w:rsid w:val="00690C66"/>
    <w:rPr>
      <w:b/>
      <w:bCs/>
      <w:i/>
      <w:iCs/>
      <w:color w:val="auto"/>
    </w:rPr>
  </w:style>
  <w:style w:type="character" w:styleId="SubtleReference">
    <w:name w:val="Subtle Reference"/>
    <w:basedOn w:val="DefaultParagraphFont"/>
    <w:uiPriority w:val="31"/>
    <w:qFormat/>
    <w:rsid w:val="00690C6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90C66"/>
    <w:rPr>
      <w:b/>
      <w:bCs/>
      <w:caps w:val="0"/>
      <w:smallCaps/>
      <w:color w:val="auto"/>
      <w:spacing w:val="0"/>
      <w:u w:val="single"/>
    </w:rPr>
  </w:style>
  <w:style w:type="character" w:styleId="BookTitle">
    <w:name w:val="Book Title"/>
    <w:basedOn w:val="DefaultParagraphFont"/>
    <w:uiPriority w:val="33"/>
    <w:qFormat/>
    <w:rsid w:val="00690C66"/>
    <w:rPr>
      <w:b/>
      <w:bCs/>
      <w:caps w:val="0"/>
      <w:smallCaps/>
      <w:spacing w:val="0"/>
    </w:rPr>
  </w:style>
  <w:style w:type="paragraph" w:styleId="TOCHeading">
    <w:name w:val="TOC Heading"/>
    <w:basedOn w:val="Heading1"/>
    <w:next w:val="Normal"/>
    <w:uiPriority w:val="39"/>
    <w:semiHidden/>
    <w:unhideWhenUsed/>
    <w:qFormat/>
    <w:rsid w:val="00690C66"/>
    <w:pPr>
      <w:outlineLvl w:val="9"/>
    </w:pPr>
  </w:style>
  <w:style w:type="paragraph" w:styleId="Caption">
    <w:name w:val="caption"/>
    <w:basedOn w:val="Normal"/>
    <w:next w:val="Normal"/>
    <w:uiPriority w:val="35"/>
    <w:semiHidden/>
    <w:unhideWhenUsed/>
    <w:qFormat/>
    <w:rsid w:val="00690C66"/>
    <w:pPr>
      <w:spacing w:line="240" w:lineRule="auto"/>
    </w:pPr>
    <w:rPr>
      <w:b/>
      <w:bCs/>
      <w:color w:val="404040" w:themeColor="text1" w:themeTint="BF"/>
      <w:sz w:val="16"/>
      <w:szCs w:val="16"/>
    </w:rPr>
  </w:style>
  <w:style w:type="table" w:styleId="TableGrid">
    <w:name w:val="Table Grid"/>
    <w:basedOn w:val="TableNormal"/>
    <w:uiPriority w:val="59"/>
    <w:rsid w:val="0065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diagramColors" Target="diagrams/colors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C182F4-DCC4-40FA-A21D-F0A8318E59EB}" type="doc">
      <dgm:prSet loTypeId="urn:microsoft.com/office/officeart/2009/layout/CircleArrowProcess" loCatId="process" qsTypeId="urn:microsoft.com/office/officeart/2005/8/quickstyle/simple1" qsCatId="simple" csTypeId="urn:microsoft.com/office/officeart/2005/8/colors/accent1_2" csCatId="accent1" phldr="1"/>
      <dgm:spPr/>
      <dgm:t>
        <a:bodyPr/>
        <a:lstStyle/>
        <a:p>
          <a:endParaRPr lang="en-US"/>
        </a:p>
      </dgm:t>
    </dgm:pt>
    <dgm:pt modelId="{B67F549B-AED3-4F5C-A9A7-19D0D4C3B01F}">
      <dgm:prSet phldrT="[Text]"/>
      <dgm:spPr/>
      <dgm:t>
        <a:bodyPr/>
        <a:lstStyle/>
        <a:p>
          <a:r>
            <a:rPr lang="en-US"/>
            <a:t>Patient Given RAG Category</a:t>
          </a:r>
        </a:p>
      </dgm:t>
    </dgm:pt>
    <dgm:pt modelId="{28E6C2A8-8F4C-4B8C-8727-C35ECF70F4EA}" type="parTrans" cxnId="{5C31A114-FEC6-4843-834C-B192FD6A6537}">
      <dgm:prSet/>
      <dgm:spPr/>
      <dgm:t>
        <a:bodyPr/>
        <a:lstStyle/>
        <a:p>
          <a:endParaRPr lang="en-US"/>
        </a:p>
      </dgm:t>
    </dgm:pt>
    <dgm:pt modelId="{40207435-4CD5-4684-8C6D-93EA9BDC232E}" type="sibTrans" cxnId="{5C31A114-FEC6-4843-834C-B192FD6A6537}">
      <dgm:prSet/>
      <dgm:spPr/>
      <dgm:t>
        <a:bodyPr/>
        <a:lstStyle/>
        <a:p>
          <a:endParaRPr lang="en-US"/>
        </a:p>
      </dgm:t>
    </dgm:pt>
    <dgm:pt modelId="{DD94FA9C-60D0-4D95-BBF7-9E6B2BDF55FF}">
      <dgm:prSet phldrT="[Text]"/>
      <dgm:spPr/>
      <dgm:t>
        <a:bodyPr/>
        <a:lstStyle/>
        <a:p>
          <a:r>
            <a:rPr lang="en-US"/>
            <a:t>Category Reviewed After Each Clinical Encounter</a:t>
          </a:r>
        </a:p>
      </dgm:t>
    </dgm:pt>
    <dgm:pt modelId="{2BA15F23-E726-490E-B5D3-B4D4C736B0FB}" type="parTrans" cxnId="{983CDB56-00ED-4428-A009-CD5E652F4EE4}">
      <dgm:prSet/>
      <dgm:spPr/>
      <dgm:t>
        <a:bodyPr/>
        <a:lstStyle/>
        <a:p>
          <a:endParaRPr lang="en-US"/>
        </a:p>
      </dgm:t>
    </dgm:pt>
    <dgm:pt modelId="{03D2015A-0804-43F9-85A8-ACB373603734}" type="sibTrans" cxnId="{983CDB56-00ED-4428-A009-CD5E652F4EE4}">
      <dgm:prSet/>
      <dgm:spPr/>
      <dgm:t>
        <a:bodyPr/>
        <a:lstStyle/>
        <a:p>
          <a:endParaRPr lang="en-US"/>
        </a:p>
      </dgm:t>
    </dgm:pt>
    <dgm:pt modelId="{00A66A01-8C60-482F-8AB3-708E2C825B22}">
      <dgm:prSet phldrT="[Text]"/>
      <dgm:spPr/>
      <dgm:t>
        <a:bodyPr/>
        <a:lstStyle/>
        <a:p>
          <a:r>
            <a:rPr lang="en-US"/>
            <a:t>Alert for theose who need review</a:t>
          </a:r>
        </a:p>
      </dgm:t>
    </dgm:pt>
    <dgm:pt modelId="{7FD13975-242C-4514-B397-C5FFAC702592}" type="parTrans" cxnId="{3B7B1073-74DC-40B8-B358-F3B009FD8FC9}">
      <dgm:prSet/>
      <dgm:spPr/>
      <dgm:t>
        <a:bodyPr/>
        <a:lstStyle/>
        <a:p>
          <a:endParaRPr lang="en-US"/>
        </a:p>
      </dgm:t>
    </dgm:pt>
    <dgm:pt modelId="{4A9A4F7B-1221-4798-B456-4541A11DB4CB}" type="sibTrans" cxnId="{3B7B1073-74DC-40B8-B358-F3B009FD8FC9}">
      <dgm:prSet/>
      <dgm:spPr/>
      <dgm:t>
        <a:bodyPr/>
        <a:lstStyle/>
        <a:p>
          <a:endParaRPr lang="en-US"/>
        </a:p>
      </dgm:t>
    </dgm:pt>
    <dgm:pt modelId="{5AC10D3E-B166-415A-852E-6A9870636473}" type="pres">
      <dgm:prSet presAssocID="{ACC182F4-DCC4-40FA-A21D-F0A8318E59EB}" presName="Name0" presStyleCnt="0">
        <dgm:presLayoutVars>
          <dgm:chMax val="7"/>
          <dgm:chPref val="7"/>
          <dgm:dir/>
          <dgm:animLvl val="lvl"/>
        </dgm:presLayoutVars>
      </dgm:prSet>
      <dgm:spPr/>
    </dgm:pt>
    <dgm:pt modelId="{30239D47-4AFF-4732-9C38-3025DD174A83}" type="pres">
      <dgm:prSet presAssocID="{B67F549B-AED3-4F5C-A9A7-19D0D4C3B01F}" presName="Accent1" presStyleCnt="0"/>
      <dgm:spPr/>
    </dgm:pt>
    <dgm:pt modelId="{9DDFC791-7153-4E3D-93EB-F74A28F41B14}" type="pres">
      <dgm:prSet presAssocID="{B67F549B-AED3-4F5C-A9A7-19D0D4C3B01F}" presName="Accent" presStyleLbl="node1" presStyleIdx="0" presStyleCnt="3"/>
      <dgm:spPr>
        <a:solidFill>
          <a:srgbClr val="00B050"/>
        </a:solidFill>
      </dgm:spPr>
    </dgm:pt>
    <dgm:pt modelId="{235791F5-876D-4874-8E28-66BAFE590782}" type="pres">
      <dgm:prSet presAssocID="{B67F549B-AED3-4F5C-A9A7-19D0D4C3B01F}" presName="Parent1" presStyleLbl="revTx" presStyleIdx="0" presStyleCnt="3">
        <dgm:presLayoutVars>
          <dgm:chMax val="1"/>
          <dgm:chPref val="1"/>
          <dgm:bulletEnabled val="1"/>
        </dgm:presLayoutVars>
      </dgm:prSet>
      <dgm:spPr/>
    </dgm:pt>
    <dgm:pt modelId="{CD469E41-9483-4F47-A7EC-AD734DBFA029}" type="pres">
      <dgm:prSet presAssocID="{DD94FA9C-60D0-4D95-BBF7-9E6B2BDF55FF}" presName="Accent2" presStyleCnt="0"/>
      <dgm:spPr/>
    </dgm:pt>
    <dgm:pt modelId="{44EB6B13-C9E4-46EA-8E1C-472FAFCEEEAC}" type="pres">
      <dgm:prSet presAssocID="{DD94FA9C-60D0-4D95-BBF7-9E6B2BDF55FF}" presName="Accent" presStyleLbl="node1" presStyleIdx="1" presStyleCnt="3"/>
      <dgm:spPr>
        <a:solidFill>
          <a:srgbClr val="FFC000"/>
        </a:solidFill>
      </dgm:spPr>
    </dgm:pt>
    <dgm:pt modelId="{41903B79-F1F4-4FAB-A060-44B0FF851C3C}" type="pres">
      <dgm:prSet presAssocID="{DD94FA9C-60D0-4D95-BBF7-9E6B2BDF55FF}" presName="Parent2" presStyleLbl="revTx" presStyleIdx="1" presStyleCnt="3">
        <dgm:presLayoutVars>
          <dgm:chMax val="1"/>
          <dgm:chPref val="1"/>
          <dgm:bulletEnabled val="1"/>
        </dgm:presLayoutVars>
      </dgm:prSet>
      <dgm:spPr/>
    </dgm:pt>
    <dgm:pt modelId="{C43A1E16-4F6F-4E79-9C56-1DF50F780C30}" type="pres">
      <dgm:prSet presAssocID="{00A66A01-8C60-482F-8AB3-708E2C825B22}" presName="Accent3" presStyleCnt="0"/>
      <dgm:spPr/>
    </dgm:pt>
    <dgm:pt modelId="{3A035BC3-D51B-4BFB-B417-904E6834A124}" type="pres">
      <dgm:prSet presAssocID="{00A66A01-8C60-482F-8AB3-708E2C825B22}" presName="Accent" presStyleLbl="node1" presStyleIdx="2" presStyleCnt="3"/>
      <dgm:spPr>
        <a:solidFill>
          <a:srgbClr val="FF0000"/>
        </a:solidFill>
      </dgm:spPr>
    </dgm:pt>
    <dgm:pt modelId="{A5F9C1D0-2F71-4449-803F-C82C7E224814}" type="pres">
      <dgm:prSet presAssocID="{00A66A01-8C60-482F-8AB3-708E2C825B22}" presName="Parent3" presStyleLbl="revTx" presStyleIdx="2" presStyleCnt="3">
        <dgm:presLayoutVars>
          <dgm:chMax val="1"/>
          <dgm:chPref val="1"/>
          <dgm:bulletEnabled val="1"/>
        </dgm:presLayoutVars>
      </dgm:prSet>
      <dgm:spPr/>
    </dgm:pt>
  </dgm:ptLst>
  <dgm:cxnLst>
    <dgm:cxn modelId="{5C31A114-FEC6-4843-834C-B192FD6A6537}" srcId="{ACC182F4-DCC4-40FA-A21D-F0A8318E59EB}" destId="{B67F549B-AED3-4F5C-A9A7-19D0D4C3B01F}" srcOrd="0" destOrd="0" parTransId="{28E6C2A8-8F4C-4B8C-8727-C35ECF70F4EA}" sibTransId="{40207435-4CD5-4684-8C6D-93EA9BDC232E}"/>
    <dgm:cxn modelId="{983CDB56-00ED-4428-A009-CD5E652F4EE4}" srcId="{ACC182F4-DCC4-40FA-A21D-F0A8318E59EB}" destId="{DD94FA9C-60D0-4D95-BBF7-9E6B2BDF55FF}" srcOrd="1" destOrd="0" parTransId="{2BA15F23-E726-490E-B5D3-B4D4C736B0FB}" sibTransId="{03D2015A-0804-43F9-85A8-ACB373603734}"/>
    <dgm:cxn modelId="{3B7B1073-74DC-40B8-B358-F3B009FD8FC9}" srcId="{ACC182F4-DCC4-40FA-A21D-F0A8318E59EB}" destId="{00A66A01-8C60-482F-8AB3-708E2C825B22}" srcOrd="2" destOrd="0" parTransId="{7FD13975-242C-4514-B397-C5FFAC702592}" sibTransId="{4A9A4F7B-1221-4798-B456-4541A11DB4CB}"/>
    <dgm:cxn modelId="{30DF34A2-AAD7-483C-B50E-BCFD965ADC77}" type="presOf" srcId="{B67F549B-AED3-4F5C-A9A7-19D0D4C3B01F}" destId="{235791F5-876D-4874-8E28-66BAFE590782}" srcOrd="0" destOrd="0" presId="urn:microsoft.com/office/officeart/2009/layout/CircleArrowProcess"/>
    <dgm:cxn modelId="{7B4D72A4-B47C-4642-A970-A69B69DC656E}" type="presOf" srcId="{ACC182F4-DCC4-40FA-A21D-F0A8318E59EB}" destId="{5AC10D3E-B166-415A-852E-6A9870636473}" srcOrd="0" destOrd="0" presId="urn:microsoft.com/office/officeart/2009/layout/CircleArrowProcess"/>
    <dgm:cxn modelId="{C62583C4-81BB-4D2C-A2B5-075E5E61ED8F}" type="presOf" srcId="{DD94FA9C-60D0-4D95-BBF7-9E6B2BDF55FF}" destId="{41903B79-F1F4-4FAB-A060-44B0FF851C3C}" srcOrd="0" destOrd="0" presId="urn:microsoft.com/office/officeart/2009/layout/CircleArrowProcess"/>
    <dgm:cxn modelId="{29266ECF-F570-4DB4-9475-0F8E405A2B0F}" type="presOf" srcId="{00A66A01-8C60-482F-8AB3-708E2C825B22}" destId="{A5F9C1D0-2F71-4449-803F-C82C7E224814}" srcOrd="0" destOrd="0" presId="urn:microsoft.com/office/officeart/2009/layout/CircleArrowProcess"/>
    <dgm:cxn modelId="{3F2146E6-C16A-43AA-9523-099E01E5D40C}" type="presParOf" srcId="{5AC10D3E-B166-415A-852E-6A9870636473}" destId="{30239D47-4AFF-4732-9C38-3025DD174A83}" srcOrd="0" destOrd="0" presId="urn:microsoft.com/office/officeart/2009/layout/CircleArrowProcess"/>
    <dgm:cxn modelId="{85E14F6C-03BF-46FF-AD7A-B012850E4A59}" type="presParOf" srcId="{30239D47-4AFF-4732-9C38-3025DD174A83}" destId="{9DDFC791-7153-4E3D-93EB-F74A28F41B14}" srcOrd="0" destOrd="0" presId="urn:microsoft.com/office/officeart/2009/layout/CircleArrowProcess"/>
    <dgm:cxn modelId="{ADC55FA9-C2C9-4C6A-953D-E0FB8B48CC4E}" type="presParOf" srcId="{5AC10D3E-B166-415A-852E-6A9870636473}" destId="{235791F5-876D-4874-8E28-66BAFE590782}" srcOrd="1" destOrd="0" presId="urn:microsoft.com/office/officeart/2009/layout/CircleArrowProcess"/>
    <dgm:cxn modelId="{DF2F1094-B824-459C-B30B-50C25B6FCB57}" type="presParOf" srcId="{5AC10D3E-B166-415A-852E-6A9870636473}" destId="{CD469E41-9483-4F47-A7EC-AD734DBFA029}" srcOrd="2" destOrd="0" presId="urn:microsoft.com/office/officeart/2009/layout/CircleArrowProcess"/>
    <dgm:cxn modelId="{9803D29A-F7E7-4784-8B0E-C66C2AEBF17D}" type="presParOf" srcId="{CD469E41-9483-4F47-A7EC-AD734DBFA029}" destId="{44EB6B13-C9E4-46EA-8E1C-472FAFCEEEAC}" srcOrd="0" destOrd="0" presId="urn:microsoft.com/office/officeart/2009/layout/CircleArrowProcess"/>
    <dgm:cxn modelId="{48EDFAF0-6A78-4B0C-952A-6A9DC28D5393}" type="presParOf" srcId="{5AC10D3E-B166-415A-852E-6A9870636473}" destId="{41903B79-F1F4-4FAB-A060-44B0FF851C3C}" srcOrd="3" destOrd="0" presId="urn:microsoft.com/office/officeart/2009/layout/CircleArrowProcess"/>
    <dgm:cxn modelId="{2B4FCC21-FED1-4111-A853-17B2CF536721}" type="presParOf" srcId="{5AC10D3E-B166-415A-852E-6A9870636473}" destId="{C43A1E16-4F6F-4E79-9C56-1DF50F780C30}" srcOrd="4" destOrd="0" presId="urn:microsoft.com/office/officeart/2009/layout/CircleArrowProcess"/>
    <dgm:cxn modelId="{0AC6AEED-37B8-4A84-B93F-4EC1EDDEF465}" type="presParOf" srcId="{C43A1E16-4F6F-4E79-9C56-1DF50F780C30}" destId="{3A035BC3-D51B-4BFB-B417-904E6834A124}" srcOrd="0" destOrd="0" presId="urn:microsoft.com/office/officeart/2009/layout/CircleArrowProcess"/>
    <dgm:cxn modelId="{C5EEFCB7-D7FC-431A-8AEF-A2A134754E91}" type="presParOf" srcId="{5AC10D3E-B166-415A-852E-6A9870636473}" destId="{A5F9C1D0-2F71-4449-803F-C82C7E224814}" srcOrd="5" destOrd="0" presId="urn:microsoft.com/office/officeart/2009/layout/CircleArrow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D7CDD73-7721-41A3-8DF6-882DD6C8944F}"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US"/>
        </a:p>
      </dgm:t>
    </dgm:pt>
    <dgm:pt modelId="{F1812D64-29A1-4F89-9063-2A651B74998E}">
      <dgm:prSet phldrT="[Text]"/>
      <dgm:spPr/>
      <dgm:t>
        <a:bodyPr/>
        <a:lstStyle/>
        <a:p>
          <a:r>
            <a:rPr lang="en-US" b="1">
              <a:latin typeface="Calibri Light" panose="020F0302020204030204" pitchFamily="34" charset="0"/>
              <a:cs typeface="Calibri Light" panose="020F0302020204030204" pitchFamily="34" charset="0"/>
            </a:rPr>
            <a:t>RAG Category Read Codes</a:t>
          </a:r>
        </a:p>
      </dgm:t>
    </dgm:pt>
    <dgm:pt modelId="{12FB5D2F-DF6D-4B00-AD13-5058CA2FA9C7}" type="parTrans" cxnId="{16940334-1B03-4AE5-9DA4-68DA01CF1738}">
      <dgm:prSet/>
      <dgm:spPr/>
      <dgm:t>
        <a:bodyPr/>
        <a:lstStyle/>
        <a:p>
          <a:endParaRPr lang="en-US"/>
        </a:p>
      </dgm:t>
    </dgm:pt>
    <dgm:pt modelId="{C70A32D9-7301-4F6D-A062-9044AA64CB7B}" type="sibTrans" cxnId="{16940334-1B03-4AE5-9DA4-68DA01CF1738}">
      <dgm:prSet/>
      <dgm:spPr/>
      <dgm:t>
        <a:bodyPr/>
        <a:lstStyle/>
        <a:p>
          <a:endParaRPr lang="en-US"/>
        </a:p>
      </dgm:t>
    </dgm:pt>
    <dgm:pt modelId="{F4FAE00B-6B7D-4F4D-A154-1DE31768635F}">
      <dgm:prSet phldrT="[Text]"/>
      <dgm:spPr/>
      <dgm:t>
        <a:bodyPr/>
        <a:lstStyle/>
        <a:p>
          <a:r>
            <a:rPr lang="en-US" b="1">
              <a:latin typeface="Calibri Light" panose="020F0302020204030204" pitchFamily="34" charset="0"/>
              <a:cs typeface="Calibri Light" panose="020F0302020204030204" pitchFamily="34" charset="0"/>
            </a:rPr>
            <a:t>Data Entry Template</a:t>
          </a:r>
        </a:p>
      </dgm:t>
    </dgm:pt>
    <dgm:pt modelId="{9DC835B0-3AB4-4337-ADE9-017E8634EA1A}" type="parTrans" cxnId="{D8431E04-5033-4663-B4B4-14015B52F8AA}">
      <dgm:prSet/>
      <dgm:spPr/>
      <dgm:t>
        <a:bodyPr/>
        <a:lstStyle/>
        <a:p>
          <a:endParaRPr lang="en-US"/>
        </a:p>
      </dgm:t>
    </dgm:pt>
    <dgm:pt modelId="{624D695C-C498-4E2A-963F-5EA148E2E659}" type="sibTrans" cxnId="{D8431E04-5033-4663-B4B4-14015B52F8AA}">
      <dgm:prSet/>
      <dgm:spPr/>
      <dgm:t>
        <a:bodyPr/>
        <a:lstStyle/>
        <a:p>
          <a:endParaRPr lang="en-US"/>
        </a:p>
      </dgm:t>
    </dgm:pt>
    <dgm:pt modelId="{F7508341-D252-46EC-AEE3-1A3ADCBA09F1}">
      <dgm:prSet phldrT="[Text]"/>
      <dgm:spPr/>
      <dgm:t>
        <a:bodyPr/>
        <a:lstStyle/>
        <a:p>
          <a:r>
            <a:rPr lang="en-US" b="1">
              <a:latin typeface="Calibri Light" panose="020F0302020204030204" pitchFamily="34" charset="0"/>
              <a:cs typeface="Calibri Light" panose="020F0302020204030204" pitchFamily="34" charset="0"/>
            </a:rPr>
            <a:t>Clinical Reports</a:t>
          </a:r>
        </a:p>
      </dgm:t>
    </dgm:pt>
    <dgm:pt modelId="{5BE72890-3AEF-4184-BA3B-82BDD3BD6B9D}" type="parTrans" cxnId="{C93953C9-807E-46E2-AAE3-0F5DA678481B}">
      <dgm:prSet/>
      <dgm:spPr/>
      <dgm:t>
        <a:bodyPr/>
        <a:lstStyle/>
        <a:p>
          <a:endParaRPr lang="en-US"/>
        </a:p>
      </dgm:t>
    </dgm:pt>
    <dgm:pt modelId="{54BFC19B-D39D-48C3-B499-1C51E8262203}" type="sibTrans" cxnId="{C93953C9-807E-46E2-AAE3-0F5DA678481B}">
      <dgm:prSet/>
      <dgm:spPr/>
      <dgm:t>
        <a:bodyPr/>
        <a:lstStyle/>
        <a:p>
          <a:endParaRPr lang="en-US"/>
        </a:p>
      </dgm:t>
    </dgm:pt>
    <dgm:pt modelId="{2DFB22FC-D66E-47CD-AFBC-BF52BA9EDF5B}">
      <dgm:prSet phldrT="[Text]"/>
      <dgm:spPr/>
      <dgm:t>
        <a:bodyPr/>
        <a:lstStyle/>
        <a:p>
          <a:r>
            <a:rPr lang="en-US" b="1">
              <a:latin typeface="Calibri Light" panose="020F0302020204030204" pitchFamily="34" charset="0"/>
              <a:cs typeface="Calibri Light" panose="020F0302020204030204" pitchFamily="34" charset="0"/>
            </a:rPr>
            <a:t>Protocol</a:t>
          </a:r>
        </a:p>
      </dgm:t>
    </dgm:pt>
    <dgm:pt modelId="{7828A07F-D35E-4094-B66B-B606CCCC092D}" type="parTrans" cxnId="{9FC51EE4-795F-43FE-B707-8D1CFF4CF515}">
      <dgm:prSet/>
      <dgm:spPr/>
      <dgm:t>
        <a:bodyPr/>
        <a:lstStyle/>
        <a:p>
          <a:endParaRPr lang="en-US"/>
        </a:p>
      </dgm:t>
    </dgm:pt>
    <dgm:pt modelId="{3AE04358-1826-4414-BCB7-CF4D5A9EB00F}" type="sibTrans" cxnId="{9FC51EE4-795F-43FE-B707-8D1CFF4CF515}">
      <dgm:prSet/>
      <dgm:spPr/>
      <dgm:t>
        <a:bodyPr/>
        <a:lstStyle/>
        <a:p>
          <a:endParaRPr lang="en-US"/>
        </a:p>
      </dgm:t>
    </dgm:pt>
    <dgm:pt modelId="{6A33D3DC-DB6C-4521-91F6-79A24F278956}">
      <dgm:prSet phldrT="[Text]"/>
      <dgm:spPr/>
      <dgm:t>
        <a:bodyPr/>
        <a:lstStyle/>
        <a:p>
          <a:r>
            <a:rPr lang="en-US" b="1">
              <a:latin typeface="Calibri Light" panose="020F0302020204030204" pitchFamily="34" charset="0"/>
              <a:cs typeface="Calibri Light" panose="020F0302020204030204" pitchFamily="34" charset="0"/>
            </a:rPr>
            <a:t>Patient Status Alert</a:t>
          </a:r>
        </a:p>
      </dgm:t>
    </dgm:pt>
    <dgm:pt modelId="{8F643EF1-27C0-427B-B2E8-6EB678BFE94B}" type="parTrans" cxnId="{BCC36586-3F1B-4676-9E4A-A6C53F779CDF}">
      <dgm:prSet/>
      <dgm:spPr/>
      <dgm:t>
        <a:bodyPr/>
        <a:lstStyle/>
        <a:p>
          <a:endParaRPr lang="en-US"/>
        </a:p>
      </dgm:t>
    </dgm:pt>
    <dgm:pt modelId="{E200519F-25A8-40DC-876F-285AEA14767B}" type="sibTrans" cxnId="{BCC36586-3F1B-4676-9E4A-A6C53F779CDF}">
      <dgm:prSet/>
      <dgm:spPr/>
      <dgm:t>
        <a:bodyPr/>
        <a:lstStyle/>
        <a:p>
          <a:endParaRPr lang="en-US"/>
        </a:p>
      </dgm:t>
    </dgm:pt>
    <dgm:pt modelId="{8D5A62CC-56C9-4D9D-9D5D-54EDAF64CC93}" type="pres">
      <dgm:prSet presAssocID="{CD7CDD73-7721-41A3-8DF6-882DD6C8944F}" presName="diagram" presStyleCnt="0">
        <dgm:presLayoutVars>
          <dgm:dir/>
          <dgm:resizeHandles val="exact"/>
        </dgm:presLayoutVars>
      </dgm:prSet>
      <dgm:spPr/>
    </dgm:pt>
    <dgm:pt modelId="{43DD7B63-F873-4A9E-9757-849D97170048}" type="pres">
      <dgm:prSet presAssocID="{F1812D64-29A1-4F89-9063-2A651B74998E}" presName="node" presStyleLbl="node1" presStyleIdx="0" presStyleCnt="5">
        <dgm:presLayoutVars>
          <dgm:bulletEnabled val="1"/>
        </dgm:presLayoutVars>
      </dgm:prSet>
      <dgm:spPr/>
    </dgm:pt>
    <dgm:pt modelId="{ED3CE176-9B95-4599-8ED3-65D3132974F5}" type="pres">
      <dgm:prSet presAssocID="{C70A32D9-7301-4F6D-A062-9044AA64CB7B}" presName="sibTrans" presStyleCnt="0"/>
      <dgm:spPr/>
    </dgm:pt>
    <dgm:pt modelId="{4AE0F6D6-0C0C-45EF-8C62-553188E67E11}" type="pres">
      <dgm:prSet presAssocID="{F4FAE00B-6B7D-4F4D-A154-1DE31768635F}" presName="node" presStyleLbl="node1" presStyleIdx="1" presStyleCnt="5">
        <dgm:presLayoutVars>
          <dgm:bulletEnabled val="1"/>
        </dgm:presLayoutVars>
      </dgm:prSet>
      <dgm:spPr/>
    </dgm:pt>
    <dgm:pt modelId="{ECD34E67-253E-441D-9E72-26997BD9C39D}" type="pres">
      <dgm:prSet presAssocID="{624D695C-C498-4E2A-963F-5EA148E2E659}" presName="sibTrans" presStyleCnt="0"/>
      <dgm:spPr/>
    </dgm:pt>
    <dgm:pt modelId="{8F1B3FB7-0A92-4F80-99C6-EFC72A4A390B}" type="pres">
      <dgm:prSet presAssocID="{F7508341-D252-46EC-AEE3-1A3ADCBA09F1}" presName="node" presStyleLbl="node1" presStyleIdx="2" presStyleCnt="5">
        <dgm:presLayoutVars>
          <dgm:bulletEnabled val="1"/>
        </dgm:presLayoutVars>
      </dgm:prSet>
      <dgm:spPr/>
    </dgm:pt>
    <dgm:pt modelId="{562B1C0A-450F-4C65-93CA-4B1EEB677DC7}" type="pres">
      <dgm:prSet presAssocID="{54BFC19B-D39D-48C3-B499-1C51E8262203}" presName="sibTrans" presStyleCnt="0"/>
      <dgm:spPr/>
    </dgm:pt>
    <dgm:pt modelId="{44B007EF-AB94-4E7B-96E4-6661703531B4}" type="pres">
      <dgm:prSet presAssocID="{2DFB22FC-D66E-47CD-AFBC-BF52BA9EDF5B}" presName="node" presStyleLbl="node1" presStyleIdx="3" presStyleCnt="5">
        <dgm:presLayoutVars>
          <dgm:bulletEnabled val="1"/>
        </dgm:presLayoutVars>
      </dgm:prSet>
      <dgm:spPr/>
    </dgm:pt>
    <dgm:pt modelId="{2A519CC3-A08E-4451-AB8B-06C9741EC1AF}" type="pres">
      <dgm:prSet presAssocID="{3AE04358-1826-4414-BCB7-CF4D5A9EB00F}" presName="sibTrans" presStyleCnt="0"/>
      <dgm:spPr/>
    </dgm:pt>
    <dgm:pt modelId="{7E9E9821-0926-420C-8D47-43D8907DE261}" type="pres">
      <dgm:prSet presAssocID="{6A33D3DC-DB6C-4521-91F6-79A24F278956}" presName="node" presStyleLbl="node1" presStyleIdx="4" presStyleCnt="5">
        <dgm:presLayoutVars>
          <dgm:bulletEnabled val="1"/>
        </dgm:presLayoutVars>
      </dgm:prSet>
      <dgm:spPr/>
    </dgm:pt>
  </dgm:ptLst>
  <dgm:cxnLst>
    <dgm:cxn modelId="{4B442B01-BCF9-444C-9421-B9DCCEF039FE}" type="presOf" srcId="{F4FAE00B-6B7D-4F4D-A154-1DE31768635F}" destId="{4AE0F6D6-0C0C-45EF-8C62-553188E67E11}" srcOrd="0" destOrd="0" presId="urn:microsoft.com/office/officeart/2005/8/layout/default"/>
    <dgm:cxn modelId="{CF85A701-323E-4CD9-8FB9-FDC310C5C77E}" type="presOf" srcId="{6A33D3DC-DB6C-4521-91F6-79A24F278956}" destId="{7E9E9821-0926-420C-8D47-43D8907DE261}" srcOrd="0" destOrd="0" presId="urn:microsoft.com/office/officeart/2005/8/layout/default"/>
    <dgm:cxn modelId="{D8431E04-5033-4663-B4B4-14015B52F8AA}" srcId="{CD7CDD73-7721-41A3-8DF6-882DD6C8944F}" destId="{F4FAE00B-6B7D-4F4D-A154-1DE31768635F}" srcOrd="1" destOrd="0" parTransId="{9DC835B0-3AB4-4337-ADE9-017E8634EA1A}" sibTransId="{624D695C-C498-4E2A-963F-5EA148E2E659}"/>
    <dgm:cxn modelId="{64FB9504-4C34-4B3E-B490-835475891250}" type="presOf" srcId="{2DFB22FC-D66E-47CD-AFBC-BF52BA9EDF5B}" destId="{44B007EF-AB94-4E7B-96E4-6661703531B4}" srcOrd="0" destOrd="0" presId="urn:microsoft.com/office/officeart/2005/8/layout/default"/>
    <dgm:cxn modelId="{16940334-1B03-4AE5-9DA4-68DA01CF1738}" srcId="{CD7CDD73-7721-41A3-8DF6-882DD6C8944F}" destId="{F1812D64-29A1-4F89-9063-2A651B74998E}" srcOrd="0" destOrd="0" parTransId="{12FB5D2F-DF6D-4B00-AD13-5058CA2FA9C7}" sibTransId="{C70A32D9-7301-4F6D-A062-9044AA64CB7B}"/>
    <dgm:cxn modelId="{BCC36586-3F1B-4676-9E4A-A6C53F779CDF}" srcId="{CD7CDD73-7721-41A3-8DF6-882DD6C8944F}" destId="{6A33D3DC-DB6C-4521-91F6-79A24F278956}" srcOrd="4" destOrd="0" parTransId="{8F643EF1-27C0-427B-B2E8-6EB678BFE94B}" sibTransId="{E200519F-25A8-40DC-876F-285AEA14767B}"/>
    <dgm:cxn modelId="{1073F99C-897C-42A9-BDCE-67969EE61AA3}" type="presOf" srcId="{F1812D64-29A1-4F89-9063-2A651B74998E}" destId="{43DD7B63-F873-4A9E-9757-849D97170048}" srcOrd="0" destOrd="0" presId="urn:microsoft.com/office/officeart/2005/8/layout/default"/>
    <dgm:cxn modelId="{C93953C9-807E-46E2-AAE3-0F5DA678481B}" srcId="{CD7CDD73-7721-41A3-8DF6-882DD6C8944F}" destId="{F7508341-D252-46EC-AEE3-1A3ADCBA09F1}" srcOrd="2" destOrd="0" parTransId="{5BE72890-3AEF-4184-BA3B-82BDD3BD6B9D}" sibTransId="{54BFC19B-D39D-48C3-B499-1C51E8262203}"/>
    <dgm:cxn modelId="{459C64DD-E582-4C4D-8FB2-843FCAAB7998}" type="presOf" srcId="{F7508341-D252-46EC-AEE3-1A3ADCBA09F1}" destId="{8F1B3FB7-0A92-4F80-99C6-EFC72A4A390B}" srcOrd="0" destOrd="0" presId="urn:microsoft.com/office/officeart/2005/8/layout/default"/>
    <dgm:cxn modelId="{9FC51EE4-795F-43FE-B707-8D1CFF4CF515}" srcId="{CD7CDD73-7721-41A3-8DF6-882DD6C8944F}" destId="{2DFB22FC-D66E-47CD-AFBC-BF52BA9EDF5B}" srcOrd="3" destOrd="0" parTransId="{7828A07F-D35E-4094-B66B-B606CCCC092D}" sibTransId="{3AE04358-1826-4414-BCB7-CF4D5A9EB00F}"/>
    <dgm:cxn modelId="{E633FEF8-6E74-45BF-93BC-6C9E578E711A}" type="presOf" srcId="{CD7CDD73-7721-41A3-8DF6-882DD6C8944F}" destId="{8D5A62CC-56C9-4D9D-9D5D-54EDAF64CC93}" srcOrd="0" destOrd="0" presId="urn:microsoft.com/office/officeart/2005/8/layout/default"/>
    <dgm:cxn modelId="{296D12E7-1E54-436A-98D6-4C06DB810BD3}" type="presParOf" srcId="{8D5A62CC-56C9-4D9D-9D5D-54EDAF64CC93}" destId="{43DD7B63-F873-4A9E-9757-849D97170048}" srcOrd="0" destOrd="0" presId="urn:microsoft.com/office/officeart/2005/8/layout/default"/>
    <dgm:cxn modelId="{E3032C1E-A13B-472F-AE19-F4E8F57DD86A}" type="presParOf" srcId="{8D5A62CC-56C9-4D9D-9D5D-54EDAF64CC93}" destId="{ED3CE176-9B95-4599-8ED3-65D3132974F5}" srcOrd="1" destOrd="0" presId="urn:microsoft.com/office/officeart/2005/8/layout/default"/>
    <dgm:cxn modelId="{FE506CF6-80AD-4B16-98F9-0FBA3ED5A43C}" type="presParOf" srcId="{8D5A62CC-56C9-4D9D-9D5D-54EDAF64CC93}" destId="{4AE0F6D6-0C0C-45EF-8C62-553188E67E11}" srcOrd="2" destOrd="0" presId="urn:microsoft.com/office/officeart/2005/8/layout/default"/>
    <dgm:cxn modelId="{1BB58748-9D0E-4B52-BBDD-86BD362F25C9}" type="presParOf" srcId="{8D5A62CC-56C9-4D9D-9D5D-54EDAF64CC93}" destId="{ECD34E67-253E-441D-9E72-26997BD9C39D}" srcOrd="3" destOrd="0" presId="urn:microsoft.com/office/officeart/2005/8/layout/default"/>
    <dgm:cxn modelId="{D52ACF7E-600C-4C6E-A364-F88A35DA72B0}" type="presParOf" srcId="{8D5A62CC-56C9-4D9D-9D5D-54EDAF64CC93}" destId="{8F1B3FB7-0A92-4F80-99C6-EFC72A4A390B}" srcOrd="4" destOrd="0" presId="urn:microsoft.com/office/officeart/2005/8/layout/default"/>
    <dgm:cxn modelId="{1D73E8E1-DE8E-4309-9169-F0DA9740F685}" type="presParOf" srcId="{8D5A62CC-56C9-4D9D-9D5D-54EDAF64CC93}" destId="{562B1C0A-450F-4C65-93CA-4B1EEB677DC7}" srcOrd="5" destOrd="0" presId="urn:microsoft.com/office/officeart/2005/8/layout/default"/>
    <dgm:cxn modelId="{1C76BBEB-F9EE-46E6-B0F3-B30259B8A9EF}" type="presParOf" srcId="{8D5A62CC-56C9-4D9D-9D5D-54EDAF64CC93}" destId="{44B007EF-AB94-4E7B-96E4-6661703531B4}" srcOrd="6" destOrd="0" presId="urn:microsoft.com/office/officeart/2005/8/layout/default"/>
    <dgm:cxn modelId="{DF0778D6-EF3E-4A2C-90EE-544A8A47D461}" type="presParOf" srcId="{8D5A62CC-56C9-4D9D-9D5D-54EDAF64CC93}" destId="{2A519CC3-A08E-4451-AB8B-06C9741EC1AF}" srcOrd="7" destOrd="0" presId="urn:microsoft.com/office/officeart/2005/8/layout/default"/>
    <dgm:cxn modelId="{AC32279B-600E-4206-94B8-4DC18F2784E3}" type="presParOf" srcId="{8D5A62CC-56C9-4D9D-9D5D-54EDAF64CC93}" destId="{7E9E9821-0926-420C-8D47-43D8907DE261}" srcOrd="8"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DFC791-7153-4E3D-93EB-F74A28F41B14}">
      <dsp:nvSpPr>
        <dsp:cNvPr id="0" name=""/>
        <dsp:cNvSpPr/>
      </dsp:nvSpPr>
      <dsp:spPr>
        <a:xfrm>
          <a:off x="2186906" y="0"/>
          <a:ext cx="1540438" cy="1540672"/>
        </a:xfrm>
        <a:prstGeom prst="circularArrow">
          <a:avLst>
            <a:gd name="adj1" fmla="val 10980"/>
            <a:gd name="adj2" fmla="val 1142322"/>
            <a:gd name="adj3" fmla="val 4500000"/>
            <a:gd name="adj4" fmla="val 10800000"/>
            <a:gd name="adj5" fmla="val 125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5791F5-876D-4874-8E28-66BAFE590782}">
      <dsp:nvSpPr>
        <dsp:cNvPr id="0" name=""/>
        <dsp:cNvSpPr/>
      </dsp:nvSpPr>
      <dsp:spPr>
        <a:xfrm>
          <a:off x="2527394" y="556229"/>
          <a:ext cx="855991" cy="427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Patient Given RAG Category</a:t>
          </a:r>
        </a:p>
      </dsp:txBody>
      <dsp:txXfrm>
        <a:off x="2527394" y="556229"/>
        <a:ext cx="855991" cy="427893"/>
      </dsp:txXfrm>
    </dsp:sp>
    <dsp:sp modelId="{44EB6B13-C9E4-46EA-8E1C-472FAFCEEEAC}">
      <dsp:nvSpPr>
        <dsp:cNvPr id="0" name=""/>
        <dsp:cNvSpPr/>
      </dsp:nvSpPr>
      <dsp:spPr>
        <a:xfrm>
          <a:off x="1759055" y="885230"/>
          <a:ext cx="1540438" cy="1540672"/>
        </a:xfrm>
        <a:prstGeom prst="leftCircularArrow">
          <a:avLst>
            <a:gd name="adj1" fmla="val 10980"/>
            <a:gd name="adj2" fmla="val 1142322"/>
            <a:gd name="adj3" fmla="val 6300000"/>
            <a:gd name="adj4" fmla="val 18900000"/>
            <a:gd name="adj5" fmla="val 125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903B79-F1F4-4FAB-A060-44B0FF851C3C}">
      <dsp:nvSpPr>
        <dsp:cNvPr id="0" name=""/>
        <dsp:cNvSpPr/>
      </dsp:nvSpPr>
      <dsp:spPr>
        <a:xfrm>
          <a:off x="2101278" y="1446580"/>
          <a:ext cx="855991" cy="427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Category Reviewed After Each Clinical Encounter</a:t>
          </a:r>
        </a:p>
      </dsp:txBody>
      <dsp:txXfrm>
        <a:off x="2101278" y="1446580"/>
        <a:ext cx="855991" cy="427893"/>
      </dsp:txXfrm>
    </dsp:sp>
    <dsp:sp modelId="{3A035BC3-D51B-4BFB-B417-904E6834A124}">
      <dsp:nvSpPr>
        <dsp:cNvPr id="0" name=""/>
        <dsp:cNvSpPr/>
      </dsp:nvSpPr>
      <dsp:spPr>
        <a:xfrm>
          <a:off x="2296545" y="1876394"/>
          <a:ext cx="1323475" cy="1324005"/>
        </a:xfrm>
        <a:prstGeom prst="blockArc">
          <a:avLst>
            <a:gd name="adj1" fmla="val 13500000"/>
            <a:gd name="adj2" fmla="val 10800000"/>
            <a:gd name="adj3" fmla="val 12740"/>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F9C1D0-2F71-4449-803F-C82C7E224814}">
      <dsp:nvSpPr>
        <dsp:cNvPr id="0" name=""/>
        <dsp:cNvSpPr/>
      </dsp:nvSpPr>
      <dsp:spPr>
        <a:xfrm>
          <a:off x="2529419" y="2338212"/>
          <a:ext cx="855991" cy="4278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Alert for theose who need review</a:t>
          </a:r>
        </a:p>
      </dsp:txBody>
      <dsp:txXfrm>
        <a:off x="2529419" y="2338212"/>
        <a:ext cx="855991" cy="4278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DD7B63-F873-4A9E-9757-849D97170048}">
      <dsp:nvSpPr>
        <dsp:cNvPr id="0" name=""/>
        <dsp:cNvSpPr/>
      </dsp:nvSpPr>
      <dsp:spPr>
        <a:xfrm>
          <a:off x="0" y="485775"/>
          <a:ext cx="1714499" cy="1028699"/>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b="1" kern="1200">
              <a:latin typeface="Calibri Light" panose="020F0302020204030204" pitchFamily="34" charset="0"/>
              <a:cs typeface="Calibri Light" panose="020F0302020204030204" pitchFamily="34" charset="0"/>
            </a:rPr>
            <a:t>RAG Category Read Codes</a:t>
          </a:r>
        </a:p>
      </dsp:txBody>
      <dsp:txXfrm>
        <a:off x="0" y="485775"/>
        <a:ext cx="1714499" cy="1028699"/>
      </dsp:txXfrm>
    </dsp:sp>
    <dsp:sp modelId="{4AE0F6D6-0C0C-45EF-8C62-553188E67E11}">
      <dsp:nvSpPr>
        <dsp:cNvPr id="0" name=""/>
        <dsp:cNvSpPr/>
      </dsp:nvSpPr>
      <dsp:spPr>
        <a:xfrm>
          <a:off x="1885950" y="485775"/>
          <a:ext cx="1714499" cy="1028699"/>
        </a:xfrm>
        <a:prstGeom prst="rect">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b="1" kern="1200">
              <a:latin typeface="Calibri Light" panose="020F0302020204030204" pitchFamily="34" charset="0"/>
              <a:cs typeface="Calibri Light" panose="020F0302020204030204" pitchFamily="34" charset="0"/>
            </a:rPr>
            <a:t>Data Entry Template</a:t>
          </a:r>
        </a:p>
      </dsp:txBody>
      <dsp:txXfrm>
        <a:off x="1885950" y="485775"/>
        <a:ext cx="1714499" cy="1028699"/>
      </dsp:txXfrm>
    </dsp:sp>
    <dsp:sp modelId="{8F1B3FB7-0A92-4F80-99C6-EFC72A4A390B}">
      <dsp:nvSpPr>
        <dsp:cNvPr id="0" name=""/>
        <dsp:cNvSpPr/>
      </dsp:nvSpPr>
      <dsp:spPr>
        <a:xfrm>
          <a:off x="3771900" y="485775"/>
          <a:ext cx="1714499" cy="1028699"/>
        </a:xfrm>
        <a:prstGeom prst="rect">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b="1" kern="1200">
              <a:latin typeface="Calibri Light" panose="020F0302020204030204" pitchFamily="34" charset="0"/>
              <a:cs typeface="Calibri Light" panose="020F0302020204030204" pitchFamily="34" charset="0"/>
            </a:rPr>
            <a:t>Clinical Reports</a:t>
          </a:r>
        </a:p>
      </dsp:txBody>
      <dsp:txXfrm>
        <a:off x="3771900" y="485775"/>
        <a:ext cx="1714499" cy="1028699"/>
      </dsp:txXfrm>
    </dsp:sp>
    <dsp:sp modelId="{44B007EF-AB94-4E7B-96E4-6661703531B4}">
      <dsp:nvSpPr>
        <dsp:cNvPr id="0" name=""/>
        <dsp:cNvSpPr/>
      </dsp:nvSpPr>
      <dsp:spPr>
        <a:xfrm>
          <a:off x="942975" y="1685925"/>
          <a:ext cx="1714499" cy="1028699"/>
        </a:xfrm>
        <a:prstGeom prst="rect">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b="1" kern="1200">
              <a:latin typeface="Calibri Light" panose="020F0302020204030204" pitchFamily="34" charset="0"/>
              <a:cs typeface="Calibri Light" panose="020F0302020204030204" pitchFamily="34" charset="0"/>
            </a:rPr>
            <a:t>Protocol</a:t>
          </a:r>
        </a:p>
      </dsp:txBody>
      <dsp:txXfrm>
        <a:off x="942975" y="1685925"/>
        <a:ext cx="1714499" cy="1028699"/>
      </dsp:txXfrm>
    </dsp:sp>
    <dsp:sp modelId="{7E9E9821-0926-420C-8D47-43D8907DE261}">
      <dsp:nvSpPr>
        <dsp:cNvPr id="0" name=""/>
        <dsp:cNvSpPr/>
      </dsp:nvSpPr>
      <dsp:spPr>
        <a:xfrm>
          <a:off x="2828925" y="1685925"/>
          <a:ext cx="1714499" cy="1028699"/>
        </a:xfrm>
        <a:prstGeom prst="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marL="0" lvl="0" indent="0" algn="ctr" defTabSz="977900">
            <a:lnSpc>
              <a:spcPct val="90000"/>
            </a:lnSpc>
            <a:spcBef>
              <a:spcPct val="0"/>
            </a:spcBef>
            <a:spcAft>
              <a:spcPct val="35000"/>
            </a:spcAft>
            <a:buNone/>
          </a:pPr>
          <a:r>
            <a:rPr lang="en-US" sz="2200" b="1" kern="1200">
              <a:latin typeface="Calibri Light" panose="020F0302020204030204" pitchFamily="34" charset="0"/>
              <a:cs typeface="Calibri Light" panose="020F0302020204030204" pitchFamily="34" charset="0"/>
            </a:rPr>
            <a:t>Patient Status Alert</a:t>
          </a:r>
        </a:p>
      </dsp:txBody>
      <dsp:txXfrm>
        <a:off x="2828925" y="1685925"/>
        <a:ext cx="1714499" cy="1028699"/>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6" ma:contentTypeDescription="Create a new document." ma:contentTypeScope="" ma:versionID="f503ad55d13cbe05c8b9e65aaa2d6d58">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8a0de8d8c7920f960746a1443d6fba0a"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27450-5B9C-4618-8CF2-930CADC03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D0F74-06A2-46CD-B40A-780AC0F8EC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B90F44-A4D2-4ED6-989F-2E60B46B0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 James (FOUNDRY HEALTHCARE LEWES)</dc:creator>
  <cp:keywords/>
  <dc:description/>
  <cp:lastModifiedBy>Dustyn Saint</cp:lastModifiedBy>
  <cp:revision>2</cp:revision>
  <dcterms:created xsi:type="dcterms:W3CDTF">2023-05-30T13:47:00Z</dcterms:created>
  <dcterms:modified xsi:type="dcterms:W3CDTF">2023-05-30T13:47:00Z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