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8584" w14:textId="77777777" w:rsidR="00426270" w:rsidRDefault="00426270" w:rsidP="00426270">
      <w:pPr>
        <w:jc w:val="center"/>
        <w:rPr>
          <w:rFonts w:ascii="Arial" w:hAnsi="Arial" w:cs="Arial"/>
          <w:b/>
          <w:sz w:val="32"/>
          <w:szCs w:val="32"/>
        </w:rPr>
      </w:pPr>
    </w:p>
    <w:p w14:paraId="67EFE441" w14:textId="77777777" w:rsidR="00426270" w:rsidRDefault="00426270" w:rsidP="00426270">
      <w:pPr>
        <w:jc w:val="center"/>
        <w:rPr>
          <w:rFonts w:ascii="Arial" w:hAnsi="Arial" w:cs="Arial"/>
          <w:b/>
          <w:sz w:val="32"/>
          <w:szCs w:val="32"/>
        </w:rPr>
      </w:pPr>
    </w:p>
    <w:tbl>
      <w:tblPr>
        <w:tblStyle w:val="TableGrid"/>
        <w:tblpPr w:leftFromText="180" w:rightFromText="180" w:vertAnchor="text" w:horzAnchor="margin" w:tblpY="54"/>
        <w:tblW w:w="0" w:type="auto"/>
        <w:tblLook w:val="0600" w:firstRow="0" w:lastRow="0" w:firstColumn="0" w:lastColumn="0" w:noHBand="1" w:noVBand="1"/>
      </w:tblPr>
      <w:tblGrid>
        <w:gridCol w:w="1379"/>
        <w:gridCol w:w="8771"/>
      </w:tblGrid>
      <w:tr w:rsidR="00426270" w14:paraId="6C96200C" w14:textId="77777777" w:rsidTr="00DB3A64">
        <w:tc>
          <w:tcPr>
            <w:tcW w:w="0" w:type="auto"/>
            <w:gridSpan w:val="2"/>
            <w:shd w:val="clear" w:color="auto" w:fill="auto"/>
            <w:vAlign w:val="center"/>
          </w:tcPr>
          <w:p w14:paraId="79148081" w14:textId="77777777" w:rsidR="00426270" w:rsidRPr="00A63676" w:rsidRDefault="00426270" w:rsidP="00DB3A64">
            <w:pPr>
              <w:jc w:val="center"/>
              <w:rPr>
                <w:rFonts w:ascii="Century Gothic" w:hAnsi="Century Gothic" w:cs="Arial"/>
                <w:b/>
                <w:color w:val="002060"/>
                <w:sz w:val="32"/>
                <w:szCs w:val="32"/>
              </w:rPr>
            </w:pPr>
          </w:p>
          <w:p w14:paraId="2292CE79" w14:textId="77777777" w:rsidR="00426270" w:rsidRPr="00A63676" w:rsidRDefault="00426270" w:rsidP="00DB3A64">
            <w:pPr>
              <w:jc w:val="center"/>
              <w:rPr>
                <w:rFonts w:ascii="Century Gothic" w:hAnsi="Century Gothic" w:cs="Arial"/>
                <w:b/>
                <w:color w:val="002060"/>
                <w:sz w:val="32"/>
                <w:szCs w:val="32"/>
              </w:rPr>
            </w:pPr>
            <w:r w:rsidRPr="00A63676">
              <w:rPr>
                <w:rFonts w:ascii="Century Gothic" w:hAnsi="Century Gothic" w:cs="Arial"/>
                <w:b/>
                <w:color w:val="002060"/>
                <w:sz w:val="32"/>
                <w:szCs w:val="32"/>
              </w:rPr>
              <w:t>Case Study</w:t>
            </w:r>
          </w:p>
          <w:p w14:paraId="7507CA4D" w14:textId="77777777" w:rsidR="00426270" w:rsidRPr="00A63676" w:rsidRDefault="00426270" w:rsidP="00DB3A64">
            <w:pPr>
              <w:jc w:val="center"/>
              <w:rPr>
                <w:rFonts w:ascii="Century Gothic" w:hAnsi="Century Gothic" w:cs="Arial"/>
                <w:b/>
                <w:color w:val="002060"/>
              </w:rPr>
            </w:pPr>
          </w:p>
          <w:p w14:paraId="46E8DDB7" w14:textId="27456171" w:rsidR="00426270" w:rsidRPr="00A63676" w:rsidRDefault="00426270" w:rsidP="00DB3A64">
            <w:pPr>
              <w:jc w:val="center"/>
              <w:rPr>
                <w:rFonts w:ascii="Century Gothic" w:hAnsi="Century Gothic" w:cs="Arial"/>
                <w:b/>
                <w:color w:val="002060"/>
                <w:sz w:val="32"/>
                <w:szCs w:val="32"/>
              </w:rPr>
            </w:pPr>
            <w:r w:rsidRPr="00A63676">
              <w:rPr>
                <w:rFonts w:ascii="Century Gothic" w:hAnsi="Century Gothic" w:cs="Arial"/>
                <w:b/>
                <w:color w:val="002060"/>
                <w:sz w:val="32"/>
                <w:szCs w:val="32"/>
              </w:rPr>
              <w:t>Partnership working between Primary Care IT and The Confederation</w:t>
            </w:r>
            <w:r>
              <w:rPr>
                <w:rFonts w:ascii="Century Gothic" w:hAnsi="Century Gothic" w:cs="Arial"/>
                <w:b/>
                <w:color w:val="002060"/>
                <w:sz w:val="32"/>
                <w:szCs w:val="32"/>
              </w:rPr>
              <w:t>, Hillingdon</w:t>
            </w:r>
            <w:r w:rsidRPr="00A63676">
              <w:rPr>
                <w:rFonts w:ascii="Century Gothic" w:hAnsi="Century Gothic" w:cs="Arial"/>
                <w:b/>
                <w:color w:val="002060"/>
                <w:sz w:val="32"/>
                <w:szCs w:val="32"/>
              </w:rPr>
              <w:t xml:space="preserve"> CIC leads to improvements in </w:t>
            </w:r>
            <w:proofErr w:type="gramStart"/>
            <w:r w:rsidRPr="00A63676">
              <w:rPr>
                <w:rFonts w:ascii="Century Gothic" w:hAnsi="Century Gothic" w:cs="Arial"/>
                <w:b/>
                <w:color w:val="002060"/>
                <w:sz w:val="32"/>
                <w:szCs w:val="32"/>
              </w:rPr>
              <w:t>North West</w:t>
            </w:r>
            <w:proofErr w:type="gramEnd"/>
            <w:r w:rsidRPr="00A63676">
              <w:rPr>
                <w:rFonts w:ascii="Century Gothic" w:hAnsi="Century Gothic" w:cs="Arial"/>
                <w:b/>
                <w:color w:val="002060"/>
                <w:sz w:val="32"/>
                <w:szCs w:val="32"/>
              </w:rPr>
              <w:t xml:space="preserve"> London ICS Enhanced Service</w:t>
            </w:r>
            <w:r>
              <w:rPr>
                <w:rFonts w:ascii="Century Gothic" w:hAnsi="Century Gothic" w:cs="Arial"/>
                <w:b/>
                <w:color w:val="002060"/>
                <w:sz w:val="32"/>
                <w:szCs w:val="32"/>
              </w:rPr>
              <w:t xml:space="preserve"> for</w:t>
            </w:r>
            <w:r w:rsidRPr="00A63676">
              <w:rPr>
                <w:rFonts w:ascii="Century Gothic" w:hAnsi="Century Gothic" w:cs="Arial"/>
                <w:b/>
                <w:color w:val="002060"/>
                <w:sz w:val="32"/>
                <w:szCs w:val="32"/>
              </w:rPr>
              <w:t xml:space="preserve"> </w:t>
            </w:r>
            <w:r>
              <w:rPr>
                <w:rFonts w:ascii="Century Gothic" w:hAnsi="Century Gothic" w:cs="Arial"/>
                <w:b/>
                <w:color w:val="002060"/>
                <w:sz w:val="32"/>
                <w:szCs w:val="32"/>
              </w:rPr>
              <w:t>CCMI and Mental Health</w:t>
            </w:r>
          </w:p>
          <w:p w14:paraId="6E8E8520" w14:textId="77777777" w:rsidR="00426270" w:rsidRPr="00A63676" w:rsidRDefault="00426270" w:rsidP="00DB3A64">
            <w:pPr>
              <w:jc w:val="center"/>
              <w:rPr>
                <w:rFonts w:ascii="Century Gothic" w:hAnsi="Century Gothic" w:cs="Arial"/>
                <w:b/>
                <w:color w:val="FFFFFF" w:themeColor="background1"/>
                <w:sz w:val="32"/>
                <w:szCs w:val="32"/>
              </w:rPr>
            </w:pPr>
          </w:p>
        </w:tc>
      </w:tr>
      <w:tr w:rsidR="00426270" w14:paraId="7CADED40" w14:textId="77777777" w:rsidTr="00DB3A64">
        <w:trPr>
          <w:trHeight w:val="1263"/>
        </w:trPr>
        <w:tc>
          <w:tcPr>
            <w:tcW w:w="0" w:type="auto"/>
            <w:shd w:val="clear" w:color="auto" w:fill="0070C0"/>
          </w:tcPr>
          <w:p w14:paraId="56585D46" w14:textId="77777777" w:rsidR="00426270" w:rsidRPr="00A63676" w:rsidRDefault="00426270" w:rsidP="00DB3A64">
            <w:pPr>
              <w:jc w:val="center"/>
              <w:rPr>
                <w:rFonts w:ascii="Century Gothic" w:hAnsi="Century Gothic" w:cs="Arial"/>
                <w:b/>
                <w:color w:val="FFFFFF" w:themeColor="background1"/>
                <w:sz w:val="20"/>
                <w:szCs w:val="20"/>
              </w:rPr>
            </w:pPr>
          </w:p>
          <w:p w14:paraId="16FF3C72" w14:textId="77777777" w:rsidR="00426270" w:rsidRPr="00A63676" w:rsidRDefault="00426270" w:rsidP="00DB3A64">
            <w:pPr>
              <w:jc w:val="center"/>
              <w:rPr>
                <w:rFonts w:ascii="Century Gothic" w:hAnsi="Century Gothic" w:cs="Arial"/>
                <w:b/>
                <w:color w:val="FFFFFF" w:themeColor="background1"/>
                <w:sz w:val="20"/>
                <w:szCs w:val="20"/>
              </w:rPr>
            </w:pPr>
          </w:p>
          <w:p w14:paraId="58BE981C" w14:textId="77777777" w:rsidR="00426270" w:rsidRPr="00A63676" w:rsidRDefault="00426270" w:rsidP="00DB3A64">
            <w:pPr>
              <w:jc w:val="center"/>
              <w:rPr>
                <w:rFonts w:ascii="Century Gothic" w:hAnsi="Century Gothic" w:cs="Arial"/>
                <w:b/>
                <w:color w:val="FFFFFF" w:themeColor="background1"/>
                <w:sz w:val="20"/>
                <w:szCs w:val="20"/>
              </w:rPr>
            </w:pPr>
          </w:p>
          <w:p w14:paraId="22DE5AF1" w14:textId="77777777" w:rsidR="00426270" w:rsidRPr="00A63676" w:rsidRDefault="00426270" w:rsidP="00DB3A64">
            <w:pPr>
              <w:jc w:val="center"/>
              <w:rPr>
                <w:rFonts w:ascii="Century Gothic" w:hAnsi="Century Gothic" w:cs="Arial"/>
                <w:b/>
                <w:color w:val="FFFFFF" w:themeColor="background1"/>
                <w:sz w:val="20"/>
                <w:szCs w:val="20"/>
              </w:rPr>
            </w:pPr>
          </w:p>
          <w:p w14:paraId="47539130" w14:textId="77777777" w:rsidR="00426270" w:rsidRPr="00A63676" w:rsidRDefault="00426270" w:rsidP="00DB3A64">
            <w:pPr>
              <w:jc w:val="center"/>
              <w:rPr>
                <w:rFonts w:ascii="Century Gothic" w:hAnsi="Century Gothic" w:cs="Arial"/>
                <w:b/>
                <w:color w:val="FFFFFF" w:themeColor="background1"/>
                <w:sz w:val="20"/>
                <w:szCs w:val="20"/>
              </w:rPr>
            </w:pPr>
          </w:p>
          <w:p w14:paraId="6BF5BCC5" w14:textId="77777777" w:rsidR="00426270" w:rsidRPr="00A63676" w:rsidRDefault="00426270" w:rsidP="00DB3A64">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Setting the Scene</w:t>
            </w:r>
          </w:p>
          <w:p w14:paraId="4D57C5B4" w14:textId="77777777" w:rsidR="00426270" w:rsidRPr="00A63676" w:rsidRDefault="00426270" w:rsidP="00DB3A64">
            <w:pPr>
              <w:jc w:val="center"/>
              <w:rPr>
                <w:rFonts w:ascii="Century Gothic" w:hAnsi="Century Gothic" w:cs="Arial"/>
                <w:b/>
                <w:color w:val="FFFFFF" w:themeColor="background1"/>
                <w:sz w:val="20"/>
                <w:szCs w:val="20"/>
              </w:rPr>
            </w:pPr>
          </w:p>
        </w:tc>
        <w:tc>
          <w:tcPr>
            <w:tcW w:w="0" w:type="auto"/>
            <w:shd w:val="clear" w:color="auto" w:fill="BDD6EE" w:themeFill="accent5" w:themeFillTint="66"/>
          </w:tcPr>
          <w:p w14:paraId="3B487936" w14:textId="77777777" w:rsidR="00426270" w:rsidRPr="00A63676" w:rsidRDefault="00426270" w:rsidP="00DB3A64">
            <w:pPr>
              <w:rPr>
                <w:rFonts w:ascii="Century Gothic" w:hAnsi="Century Gothic" w:cs="Arial"/>
                <w:color w:val="002060"/>
                <w:sz w:val="20"/>
                <w:szCs w:val="20"/>
              </w:rPr>
            </w:pPr>
            <w:r w:rsidRPr="00A63676">
              <w:rPr>
                <w:rFonts w:ascii="Century Gothic" w:hAnsi="Century Gothic" w:cs="Arial"/>
                <w:color w:val="002060"/>
                <w:sz w:val="20"/>
                <w:szCs w:val="20"/>
              </w:rPr>
              <w:t xml:space="preserve">The Confederation, Hillingdon CIC wanted to improve the quality of information offered to Primary Care Networks (PCNs) in the borough.  It identified Primary Care IT to help practices deliver their Enhanced Services and IIF targets for the PCN DES, especially with its specialist industry knowledge of EMIS and wider systems integration. </w:t>
            </w:r>
          </w:p>
          <w:p w14:paraId="665ED8E4" w14:textId="77777777" w:rsidR="00426270" w:rsidRPr="00A63676" w:rsidRDefault="00426270" w:rsidP="00DB3A64">
            <w:pPr>
              <w:rPr>
                <w:rFonts w:ascii="Century Gothic" w:hAnsi="Century Gothic" w:cs="Arial"/>
                <w:color w:val="002060"/>
                <w:sz w:val="20"/>
                <w:szCs w:val="20"/>
              </w:rPr>
            </w:pPr>
          </w:p>
          <w:p w14:paraId="5FB39F95" w14:textId="546015D1" w:rsidR="00426270" w:rsidRPr="00A63676" w:rsidRDefault="00426270" w:rsidP="00DB3A64">
            <w:pPr>
              <w:rPr>
                <w:rFonts w:ascii="Century Gothic" w:hAnsi="Century Gothic" w:cs="Arial"/>
                <w:color w:val="002060"/>
                <w:sz w:val="20"/>
                <w:szCs w:val="20"/>
              </w:rPr>
            </w:pPr>
            <w:r w:rsidRPr="00A63676">
              <w:rPr>
                <w:rFonts w:ascii="Century Gothic" w:hAnsi="Century Gothic" w:cs="Arial"/>
                <w:color w:val="002060"/>
                <w:sz w:val="20"/>
                <w:szCs w:val="20"/>
              </w:rPr>
              <w:t xml:space="preserve">Complex business rules made the project extremely challenging that required intensive support to practices to ensure </w:t>
            </w:r>
            <w:r>
              <w:rPr>
                <w:rFonts w:ascii="Century Gothic" w:hAnsi="Century Gothic" w:cs="Arial"/>
                <w:color w:val="002060"/>
                <w:sz w:val="20"/>
                <w:szCs w:val="20"/>
              </w:rPr>
              <w:t>CCMI/Mental Health</w:t>
            </w:r>
            <w:r w:rsidRPr="00A63676">
              <w:rPr>
                <w:rFonts w:ascii="Century Gothic" w:hAnsi="Century Gothic" w:cs="Arial"/>
                <w:color w:val="002060"/>
                <w:sz w:val="20"/>
                <w:szCs w:val="20"/>
              </w:rPr>
              <w:t xml:space="preserve"> Enhanced Service delivery. Primary Care IT </w:t>
            </w:r>
            <w:r>
              <w:rPr>
                <w:rFonts w:ascii="Century Gothic" w:hAnsi="Century Gothic" w:cs="Arial"/>
                <w:color w:val="002060"/>
                <w:sz w:val="20"/>
                <w:szCs w:val="20"/>
              </w:rPr>
              <w:t>overcame these</w:t>
            </w:r>
            <w:r w:rsidRPr="00A63676">
              <w:rPr>
                <w:rFonts w:ascii="Century Gothic" w:hAnsi="Century Gothic" w:cs="Arial"/>
                <w:color w:val="002060"/>
                <w:sz w:val="20"/>
                <w:szCs w:val="20"/>
              </w:rPr>
              <w:t xml:space="preserve"> challenge</w:t>
            </w:r>
            <w:r>
              <w:rPr>
                <w:rFonts w:ascii="Century Gothic" w:hAnsi="Century Gothic" w:cs="Arial"/>
                <w:color w:val="002060"/>
                <w:sz w:val="20"/>
                <w:szCs w:val="20"/>
              </w:rPr>
              <w:t>s</w:t>
            </w:r>
            <w:r w:rsidRPr="00A63676">
              <w:rPr>
                <w:rFonts w:ascii="Century Gothic" w:hAnsi="Century Gothic" w:cs="Arial"/>
                <w:color w:val="002060"/>
                <w:sz w:val="20"/>
                <w:szCs w:val="20"/>
              </w:rPr>
              <w:t xml:space="preserve"> through a suite of services, including setting up practice alerts and providing templates within the practice’s clinical systems to highlight which patients needed immediate action.  </w:t>
            </w:r>
          </w:p>
          <w:p w14:paraId="08FE0188" w14:textId="77777777" w:rsidR="00426270" w:rsidRPr="00A63676" w:rsidRDefault="00426270" w:rsidP="00DB3A64">
            <w:pPr>
              <w:rPr>
                <w:rFonts w:ascii="Century Gothic" w:hAnsi="Century Gothic" w:cs="Arial"/>
                <w:color w:val="002060"/>
                <w:sz w:val="20"/>
                <w:szCs w:val="20"/>
              </w:rPr>
            </w:pPr>
          </w:p>
          <w:p w14:paraId="138D6F30" w14:textId="77777777" w:rsidR="00426270" w:rsidRPr="00A63676" w:rsidRDefault="00426270" w:rsidP="00DB3A64">
            <w:pPr>
              <w:rPr>
                <w:rFonts w:ascii="Century Gothic" w:hAnsi="Century Gothic" w:cs="Arial"/>
                <w:color w:val="002060"/>
                <w:sz w:val="16"/>
                <w:szCs w:val="16"/>
              </w:rPr>
            </w:pPr>
            <w:r w:rsidRPr="00A63676">
              <w:rPr>
                <w:rFonts w:ascii="Century Gothic" w:hAnsi="Century Gothic" w:cs="Arial"/>
                <w:color w:val="002060"/>
                <w:sz w:val="20"/>
                <w:szCs w:val="20"/>
              </w:rPr>
              <w:t xml:space="preserve">Innovative practice dashboards on the </w:t>
            </w:r>
            <w:proofErr w:type="spellStart"/>
            <w:r w:rsidRPr="00A63676">
              <w:rPr>
                <w:rFonts w:ascii="Century Gothic" w:hAnsi="Century Gothic" w:cs="Arial"/>
                <w:color w:val="002060"/>
                <w:sz w:val="20"/>
                <w:szCs w:val="20"/>
              </w:rPr>
              <w:t>OneAnalytics</w:t>
            </w:r>
            <w:proofErr w:type="spellEnd"/>
            <w:r w:rsidRPr="00A63676">
              <w:rPr>
                <w:rFonts w:ascii="Century Gothic" w:hAnsi="Century Gothic" w:cs="Arial"/>
                <w:color w:val="002060"/>
                <w:sz w:val="20"/>
                <w:szCs w:val="20"/>
              </w:rPr>
              <w:t xml:space="preserve"> platform helped practices to monitor and keep track of progress. It also highlighted potential income and current actual income to help practices make decisions about resource allocation. Additionally, the project provided two facilitators who initially worked with the PCNs to help practices navigate the platform as well as to develop plans.</w:t>
            </w:r>
          </w:p>
          <w:p w14:paraId="33EF416E" w14:textId="77777777" w:rsidR="00426270" w:rsidRPr="00A63676" w:rsidRDefault="00426270" w:rsidP="00DB3A64">
            <w:pPr>
              <w:jc w:val="center"/>
              <w:rPr>
                <w:rFonts w:ascii="Century Gothic" w:hAnsi="Century Gothic" w:cs="Arial"/>
                <w:b/>
                <w:color w:val="002060"/>
                <w:sz w:val="16"/>
                <w:szCs w:val="16"/>
              </w:rPr>
            </w:pPr>
          </w:p>
        </w:tc>
      </w:tr>
      <w:tr w:rsidR="00426270" w14:paraId="6DC52B78" w14:textId="77777777" w:rsidTr="00DB3A64">
        <w:tc>
          <w:tcPr>
            <w:tcW w:w="0" w:type="auto"/>
            <w:shd w:val="clear" w:color="auto" w:fill="0070C0"/>
          </w:tcPr>
          <w:p w14:paraId="3773BDB7" w14:textId="77777777" w:rsidR="00426270" w:rsidRPr="00A63676" w:rsidRDefault="00426270" w:rsidP="00DB3A64">
            <w:pPr>
              <w:jc w:val="center"/>
              <w:rPr>
                <w:rFonts w:ascii="Century Gothic" w:hAnsi="Century Gothic" w:cs="Arial"/>
                <w:b/>
                <w:color w:val="FFFFFF" w:themeColor="background1"/>
                <w:sz w:val="20"/>
                <w:szCs w:val="20"/>
              </w:rPr>
            </w:pPr>
          </w:p>
          <w:p w14:paraId="6E41ECEB" w14:textId="77777777" w:rsidR="00426270" w:rsidRPr="00A63676" w:rsidRDefault="00426270" w:rsidP="00DB3A64">
            <w:pPr>
              <w:jc w:val="center"/>
              <w:rPr>
                <w:rFonts w:ascii="Century Gothic" w:hAnsi="Century Gothic" w:cs="Arial"/>
                <w:b/>
                <w:color w:val="FFFFFF" w:themeColor="background1"/>
                <w:sz w:val="20"/>
                <w:szCs w:val="20"/>
              </w:rPr>
            </w:pPr>
          </w:p>
          <w:p w14:paraId="722AF299" w14:textId="77777777" w:rsidR="00426270" w:rsidRPr="00A63676" w:rsidRDefault="00426270" w:rsidP="00DB3A64">
            <w:pPr>
              <w:jc w:val="center"/>
              <w:rPr>
                <w:rFonts w:ascii="Century Gothic" w:hAnsi="Century Gothic" w:cs="Arial"/>
                <w:b/>
                <w:color w:val="FFFFFF" w:themeColor="background1"/>
                <w:sz w:val="20"/>
                <w:szCs w:val="20"/>
              </w:rPr>
            </w:pPr>
          </w:p>
          <w:p w14:paraId="74A9C1E7" w14:textId="77777777" w:rsidR="00426270" w:rsidRPr="00A63676" w:rsidRDefault="00426270" w:rsidP="00DB3A64">
            <w:pPr>
              <w:jc w:val="center"/>
              <w:rPr>
                <w:rFonts w:ascii="Century Gothic" w:hAnsi="Century Gothic" w:cs="Arial"/>
                <w:b/>
                <w:color w:val="FFFFFF" w:themeColor="background1"/>
                <w:sz w:val="20"/>
                <w:szCs w:val="20"/>
              </w:rPr>
            </w:pPr>
          </w:p>
          <w:p w14:paraId="2F80B188" w14:textId="77777777" w:rsidR="00426270" w:rsidRPr="00A63676" w:rsidRDefault="00426270" w:rsidP="00DB3A64">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Objectives</w:t>
            </w:r>
          </w:p>
          <w:p w14:paraId="7727768F" w14:textId="77777777" w:rsidR="00426270" w:rsidRPr="00A63676" w:rsidRDefault="00426270" w:rsidP="00DB3A64">
            <w:pPr>
              <w:jc w:val="center"/>
              <w:rPr>
                <w:rFonts w:ascii="Century Gothic" w:hAnsi="Century Gothic" w:cs="Arial"/>
                <w:b/>
                <w:color w:val="FFFFFF" w:themeColor="background1"/>
                <w:sz w:val="20"/>
                <w:szCs w:val="20"/>
              </w:rPr>
            </w:pPr>
          </w:p>
        </w:tc>
        <w:tc>
          <w:tcPr>
            <w:tcW w:w="0" w:type="auto"/>
            <w:shd w:val="clear" w:color="auto" w:fill="BDD6EE" w:themeFill="accent5" w:themeFillTint="66"/>
          </w:tcPr>
          <w:p w14:paraId="3FFC4914" w14:textId="77777777" w:rsidR="00426270" w:rsidRPr="00A63676" w:rsidRDefault="00426270" w:rsidP="00DB3A64">
            <w:pPr>
              <w:rPr>
                <w:rFonts w:ascii="Century Gothic" w:hAnsi="Century Gothic" w:cs="Arial"/>
                <w:color w:val="002060"/>
                <w:sz w:val="20"/>
                <w:szCs w:val="20"/>
              </w:rPr>
            </w:pPr>
            <w:r w:rsidRPr="00A63676">
              <w:rPr>
                <w:rFonts w:ascii="Century Gothic" w:hAnsi="Century Gothic" w:cs="Arial"/>
                <w:color w:val="002060"/>
                <w:sz w:val="20"/>
                <w:szCs w:val="20"/>
              </w:rPr>
              <w:t>As part of a partnership working arrangement the objectives were to:</w:t>
            </w:r>
          </w:p>
          <w:p w14:paraId="4C8C6B4B" w14:textId="55D9468C"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a gateway for timely, accurate and complete </w:t>
            </w:r>
            <w:r>
              <w:rPr>
                <w:rFonts w:ascii="Century Gothic" w:hAnsi="Century Gothic" w:cs="Arial"/>
                <w:color w:val="002060"/>
                <w:sz w:val="20"/>
                <w:szCs w:val="20"/>
              </w:rPr>
              <w:t>CCMI/Mental health</w:t>
            </w:r>
            <w:r w:rsidRPr="00A63676">
              <w:rPr>
                <w:rFonts w:ascii="Century Gothic" w:hAnsi="Century Gothic" w:cs="Arial"/>
                <w:color w:val="002060"/>
                <w:sz w:val="20"/>
                <w:szCs w:val="20"/>
              </w:rPr>
              <w:t xml:space="preserve"> business intelligence for 2022/23</w:t>
            </w:r>
          </w:p>
          <w:p w14:paraId="41FCECB8"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single user web portal access for clinicians and non-clinicians with relevant </w:t>
            </w:r>
            <w:r>
              <w:rPr>
                <w:rFonts w:ascii="Century Gothic" w:hAnsi="Century Gothic" w:cs="Arial"/>
                <w:color w:val="002060"/>
                <w:sz w:val="20"/>
                <w:szCs w:val="20"/>
              </w:rPr>
              <w:t>NDH</w:t>
            </w:r>
            <w:r w:rsidRPr="00A63676">
              <w:rPr>
                <w:rFonts w:ascii="Century Gothic" w:hAnsi="Century Gothic" w:cs="Arial"/>
                <w:color w:val="002060"/>
                <w:sz w:val="20"/>
                <w:szCs w:val="20"/>
              </w:rPr>
              <w:t xml:space="preserve"> information 24 hours a day</w:t>
            </w:r>
          </w:p>
          <w:p w14:paraId="1F122BD5"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data quality assurance </w:t>
            </w:r>
            <w:r>
              <w:rPr>
                <w:rFonts w:ascii="Century Gothic" w:hAnsi="Century Gothic" w:cs="Arial"/>
                <w:color w:val="002060"/>
                <w:sz w:val="20"/>
                <w:szCs w:val="20"/>
              </w:rPr>
              <w:t>for</w:t>
            </w:r>
            <w:r w:rsidRPr="00A63676">
              <w:rPr>
                <w:rFonts w:ascii="Century Gothic" w:hAnsi="Century Gothic" w:cs="Arial"/>
                <w:color w:val="002060"/>
                <w:sz w:val="20"/>
                <w:szCs w:val="20"/>
              </w:rPr>
              <w:t xml:space="preserve"> coding and templates against complex NHS England business rules standards</w:t>
            </w:r>
          </w:p>
          <w:p w14:paraId="17284DD1" w14:textId="286B7312"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Installation of user-friendly resources and tools, in particular, </w:t>
            </w:r>
            <w:r>
              <w:rPr>
                <w:rFonts w:ascii="Century Gothic" w:hAnsi="Century Gothic" w:cs="Arial"/>
                <w:color w:val="002060"/>
                <w:sz w:val="20"/>
                <w:szCs w:val="20"/>
              </w:rPr>
              <w:t>CCMI/Mental Health</w:t>
            </w:r>
            <w:r w:rsidRPr="00A63676">
              <w:rPr>
                <w:rFonts w:ascii="Century Gothic" w:hAnsi="Century Gothic" w:cs="Arial"/>
                <w:color w:val="002060"/>
                <w:sz w:val="20"/>
                <w:szCs w:val="20"/>
              </w:rPr>
              <w:t xml:space="preserve"> Enhanced Service templates to PCN and practices in order to optimise patient </w:t>
            </w:r>
            <w:proofErr w:type="gramStart"/>
            <w:r w:rsidRPr="00A63676">
              <w:rPr>
                <w:rFonts w:ascii="Century Gothic" w:hAnsi="Century Gothic" w:cs="Arial"/>
                <w:color w:val="002060"/>
                <w:sz w:val="20"/>
                <w:szCs w:val="20"/>
              </w:rPr>
              <w:t>care</w:t>
            </w:r>
            <w:proofErr w:type="gramEnd"/>
          </w:p>
          <w:p w14:paraId="003E10B0"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provide education and training operational 365 days a year</w:t>
            </w:r>
          </w:p>
          <w:p w14:paraId="6812E788"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be the vehicle to help PCNs achieve value money for public funds for 2022/23</w:t>
            </w:r>
          </w:p>
          <w:p w14:paraId="38494412" w14:textId="77777777" w:rsidR="00426270" w:rsidRPr="00A63676" w:rsidRDefault="00426270" w:rsidP="00DB3A64">
            <w:pPr>
              <w:pStyle w:val="ListParagraph"/>
              <w:ind w:left="204"/>
              <w:rPr>
                <w:rFonts w:ascii="Century Gothic" w:hAnsi="Century Gothic" w:cs="Arial"/>
                <w:color w:val="002060"/>
                <w:sz w:val="20"/>
                <w:szCs w:val="20"/>
              </w:rPr>
            </w:pPr>
          </w:p>
        </w:tc>
      </w:tr>
      <w:tr w:rsidR="00426270" w14:paraId="362F8BD8" w14:textId="77777777" w:rsidTr="00DB3A64">
        <w:tc>
          <w:tcPr>
            <w:tcW w:w="0" w:type="auto"/>
            <w:shd w:val="clear" w:color="auto" w:fill="0070C0"/>
          </w:tcPr>
          <w:p w14:paraId="40219EFE" w14:textId="77777777" w:rsidR="00426270" w:rsidRPr="00A63676" w:rsidRDefault="00426270" w:rsidP="00DB3A64">
            <w:pPr>
              <w:jc w:val="center"/>
              <w:rPr>
                <w:rFonts w:ascii="Century Gothic" w:hAnsi="Century Gothic" w:cs="Arial"/>
                <w:b/>
                <w:color w:val="FFFFFF" w:themeColor="background1"/>
                <w:sz w:val="20"/>
                <w:szCs w:val="20"/>
              </w:rPr>
            </w:pPr>
          </w:p>
          <w:p w14:paraId="64DD4E9D" w14:textId="77777777" w:rsidR="00426270" w:rsidRPr="00A63676" w:rsidRDefault="00426270" w:rsidP="00DB3A64">
            <w:pPr>
              <w:jc w:val="center"/>
              <w:rPr>
                <w:rFonts w:ascii="Century Gothic" w:hAnsi="Century Gothic" w:cs="Arial"/>
                <w:b/>
                <w:color w:val="FFFFFF" w:themeColor="background1"/>
                <w:sz w:val="20"/>
                <w:szCs w:val="20"/>
              </w:rPr>
            </w:pPr>
          </w:p>
          <w:p w14:paraId="191DBCCC" w14:textId="77777777" w:rsidR="00426270" w:rsidRPr="00A63676" w:rsidRDefault="00426270" w:rsidP="00DB3A64">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Benefits</w:t>
            </w:r>
          </w:p>
          <w:p w14:paraId="24E096D5" w14:textId="77777777" w:rsidR="00426270" w:rsidRPr="00A63676" w:rsidRDefault="00426270" w:rsidP="00DB3A64">
            <w:pPr>
              <w:jc w:val="center"/>
              <w:rPr>
                <w:rFonts w:ascii="Century Gothic" w:hAnsi="Century Gothic" w:cs="Arial"/>
                <w:b/>
                <w:sz w:val="20"/>
                <w:szCs w:val="20"/>
              </w:rPr>
            </w:pPr>
          </w:p>
        </w:tc>
        <w:tc>
          <w:tcPr>
            <w:tcW w:w="0" w:type="auto"/>
            <w:shd w:val="clear" w:color="auto" w:fill="BDD6EE" w:themeFill="accent5" w:themeFillTint="66"/>
          </w:tcPr>
          <w:p w14:paraId="5707301C"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On average, 4 weeks earlier performance reporting allowing earlier decision</w:t>
            </w:r>
            <w:r>
              <w:rPr>
                <w:rFonts w:ascii="Century Gothic" w:hAnsi="Century Gothic" w:cs="Arial"/>
                <w:color w:val="002060"/>
                <w:sz w:val="20"/>
                <w:szCs w:val="20"/>
              </w:rPr>
              <w:t xml:space="preserve"> making in order to optimise </w:t>
            </w:r>
            <w:r w:rsidRPr="00A63676">
              <w:rPr>
                <w:rFonts w:ascii="Century Gothic" w:hAnsi="Century Gothic" w:cs="Arial"/>
                <w:color w:val="002060"/>
                <w:sz w:val="20"/>
                <w:szCs w:val="20"/>
              </w:rPr>
              <w:t xml:space="preserve">patient </w:t>
            </w:r>
            <w:proofErr w:type="gramStart"/>
            <w:r w:rsidRPr="00A63676">
              <w:rPr>
                <w:rFonts w:ascii="Century Gothic" w:hAnsi="Century Gothic" w:cs="Arial"/>
                <w:color w:val="002060"/>
                <w:sz w:val="20"/>
                <w:szCs w:val="20"/>
              </w:rPr>
              <w:t>care</w:t>
            </w:r>
            <w:proofErr w:type="gramEnd"/>
            <w:r w:rsidRPr="00A63676">
              <w:rPr>
                <w:rFonts w:ascii="Century Gothic" w:hAnsi="Century Gothic" w:cs="Arial"/>
                <w:color w:val="002060"/>
                <w:sz w:val="20"/>
                <w:szCs w:val="20"/>
              </w:rPr>
              <w:t xml:space="preserve"> </w:t>
            </w:r>
          </w:p>
          <w:p w14:paraId="2AEECAAC" w14:textId="77777777" w:rsidR="00426270" w:rsidRDefault="00426270" w:rsidP="00DB3A64">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t>SMI:</w:t>
            </w:r>
          </w:p>
          <w:p w14:paraId="49CD8DFE" w14:textId="3837D4D4" w:rsidR="00426270" w:rsidRDefault="00426270" w:rsidP="00426270">
            <w:pPr>
              <w:pStyle w:val="ListParagraph"/>
              <w:numPr>
                <w:ilvl w:val="1"/>
                <w:numId w:val="1"/>
              </w:numPr>
              <w:rPr>
                <w:rFonts w:ascii="Century Gothic" w:hAnsi="Century Gothic" w:cs="Arial"/>
                <w:color w:val="002060"/>
                <w:sz w:val="20"/>
                <w:szCs w:val="20"/>
              </w:rPr>
            </w:pPr>
            <w:r>
              <w:rPr>
                <w:rFonts w:ascii="Century Gothic" w:hAnsi="Century Gothic" w:cs="Arial"/>
                <w:color w:val="002060"/>
                <w:sz w:val="20"/>
                <w:szCs w:val="20"/>
              </w:rPr>
              <w:t xml:space="preserve">The PCNs </w:t>
            </w:r>
            <w:r>
              <w:rPr>
                <w:rFonts w:ascii="Century Gothic" w:hAnsi="Century Gothic" w:cs="Arial"/>
                <w:color w:val="002060"/>
                <w:sz w:val="20"/>
                <w:szCs w:val="20"/>
              </w:rPr>
              <w:t xml:space="preserve">completed physical health checks in 83% of patients </w:t>
            </w:r>
            <w:r w:rsidRPr="00A63676">
              <w:rPr>
                <w:rFonts w:ascii="Century Gothic" w:hAnsi="Century Gothic" w:cs="Arial"/>
                <w:color w:val="002060"/>
                <w:sz w:val="20"/>
                <w:szCs w:val="20"/>
              </w:rPr>
              <w:t xml:space="preserve">compared to </w:t>
            </w:r>
            <w:r>
              <w:rPr>
                <w:rFonts w:ascii="Century Gothic" w:hAnsi="Century Gothic" w:cs="Arial"/>
                <w:color w:val="002060"/>
                <w:sz w:val="20"/>
                <w:szCs w:val="20"/>
              </w:rPr>
              <w:t>57%</w:t>
            </w:r>
            <w:r w:rsidRPr="00A63676">
              <w:rPr>
                <w:rFonts w:ascii="Century Gothic" w:hAnsi="Century Gothic" w:cs="Arial"/>
                <w:color w:val="002060"/>
                <w:sz w:val="20"/>
                <w:szCs w:val="20"/>
              </w:rPr>
              <w:t xml:space="preserve"> </w:t>
            </w:r>
            <w:r>
              <w:rPr>
                <w:rFonts w:ascii="Century Gothic" w:hAnsi="Century Gothic" w:cs="Arial"/>
                <w:color w:val="002060"/>
                <w:sz w:val="20"/>
                <w:szCs w:val="20"/>
              </w:rPr>
              <w:t>across</w:t>
            </w:r>
            <w:r w:rsidRPr="00A63676">
              <w:rPr>
                <w:rFonts w:ascii="Century Gothic" w:hAnsi="Century Gothic" w:cs="Arial"/>
                <w:color w:val="002060"/>
                <w:sz w:val="20"/>
                <w:szCs w:val="20"/>
              </w:rPr>
              <w:t xml:space="preserve"> NW London ICS practices.  </w:t>
            </w:r>
            <w:r>
              <w:rPr>
                <w:rFonts w:ascii="Century Gothic" w:hAnsi="Century Gothic" w:cs="Arial"/>
                <w:color w:val="002060"/>
                <w:sz w:val="20"/>
                <w:szCs w:val="20"/>
              </w:rPr>
              <w:t>This meant an additional 596 patients benefitted from a complete physical health check (including 20 key data points)</w:t>
            </w:r>
          </w:p>
          <w:p w14:paraId="1D288BA9" w14:textId="37F4740C" w:rsidR="00426270" w:rsidRDefault="00426270" w:rsidP="00426270">
            <w:pPr>
              <w:pStyle w:val="ListParagraph"/>
              <w:numPr>
                <w:ilvl w:val="1"/>
                <w:numId w:val="1"/>
              </w:numPr>
              <w:rPr>
                <w:rFonts w:ascii="Century Gothic" w:hAnsi="Century Gothic" w:cs="Arial"/>
                <w:color w:val="002060"/>
                <w:sz w:val="20"/>
                <w:szCs w:val="20"/>
              </w:rPr>
            </w:pPr>
            <w:r>
              <w:rPr>
                <w:rFonts w:ascii="Century Gothic" w:hAnsi="Century Gothic" w:cs="Arial"/>
                <w:color w:val="002060"/>
                <w:sz w:val="20"/>
                <w:szCs w:val="20"/>
              </w:rPr>
              <w:t xml:space="preserve">Were the same benefits to be seen across the ICS an additional 6621 patients could have health checks that currently </w:t>
            </w:r>
            <w:proofErr w:type="gramStart"/>
            <w:r>
              <w:rPr>
                <w:rFonts w:ascii="Century Gothic" w:hAnsi="Century Gothic" w:cs="Arial"/>
                <w:color w:val="002060"/>
                <w:sz w:val="20"/>
                <w:szCs w:val="20"/>
              </w:rPr>
              <w:t>haven’t</w:t>
            </w:r>
            <w:proofErr w:type="gramEnd"/>
          </w:p>
          <w:p w14:paraId="3D361CDF" w14:textId="7FFF20CE" w:rsidR="00426270" w:rsidRDefault="00426270" w:rsidP="00426270">
            <w:pPr>
              <w:pStyle w:val="ListParagraph"/>
              <w:numPr>
                <w:ilvl w:val="1"/>
                <w:numId w:val="1"/>
              </w:numPr>
              <w:rPr>
                <w:rFonts w:ascii="Century Gothic" w:hAnsi="Century Gothic" w:cs="Arial"/>
                <w:color w:val="002060"/>
                <w:sz w:val="20"/>
                <w:szCs w:val="20"/>
              </w:rPr>
            </w:pPr>
            <w:r>
              <w:rPr>
                <w:rFonts w:ascii="Century Gothic" w:hAnsi="Century Gothic" w:cs="Arial"/>
                <w:color w:val="002060"/>
                <w:sz w:val="20"/>
                <w:szCs w:val="20"/>
              </w:rPr>
              <w:t xml:space="preserve">Given that completed annual reviews were associated with </w:t>
            </w:r>
            <w:r w:rsidRPr="00426270">
              <w:rPr>
                <w:rFonts w:ascii="Century Gothic" w:hAnsi="Century Gothic" w:cs="Arial"/>
                <w:color w:val="002060"/>
                <w:sz w:val="20"/>
                <w:szCs w:val="20"/>
              </w:rPr>
              <w:t>lower primary care (£9), mental health care (£30) and total costs (£34</w:t>
            </w:r>
            <w:r>
              <w:rPr>
                <w:rFonts w:ascii="Century Gothic" w:hAnsi="Century Gothic" w:cs="Arial"/>
                <w:color w:val="002060"/>
                <w:sz w:val="20"/>
                <w:szCs w:val="20"/>
              </w:rPr>
              <w:t>)</w:t>
            </w:r>
            <w:r w:rsidR="009634D3" w:rsidRPr="009634D3">
              <w:rPr>
                <w:rFonts w:ascii="Century Gothic" w:hAnsi="Century Gothic" w:cs="Arial"/>
                <w:color w:val="002060"/>
                <w:sz w:val="20"/>
                <w:szCs w:val="20"/>
                <w:vertAlign w:val="superscript"/>
              </w:rPr>
              <w:t>1</w:t>
            </w:r>
            <w:r>
              <w:rPr>
                <w:rFonts w:ascii="Century Gothic" w:hAnsi="Century Gothic" w:cs="Arial"/>
                <w:color w:val="002060"/>
                <w:sz w:val="20"/>
                <w:szCs w:val="20"/>
              </w:rPr>
              <w:t xml:space="preserve"> this improvement led to </w:t>
            </w:r>
          </w:p>
          <w:p w14:paraId="65289CFF" w14:textId="78D9FE93" w:rsidR="00426270" w:rsidRDefault="00426270" w:rsidP="00426270">
            <w:pPr>
              <w:pStyle w:val="ListParagraph"/>
              <w:numPr>
                <w:ilvl w:val="2"/>
                <w:numId w:val="1"/>
              </w:numPr>
              <w:rPr>
                <w:rFonts w:ascii="Century Gothic" w:hAnsi="Century Gothic" w:cs="Arial"/>
                <w:color w:val="002060"/>
                <w:sz w:val="20"/>
                <w:szCs w:val="20"/>
              </w:rPr>
            </w:pPr>
            <w:r w:rsidRPr="00426270">
              <w:rPr>
                <w:rFonts w:ascii="Century Gothic" w:hAnsi="Century Gothic" w:cs="Arial"/>
                <w:color w:val="002060"/>
                <w:sz w:val="20"/>
                <w:szCs w:val="20"/>
              </w:rPr>
              <w:t>£5,360.51</w:t>
            </w:r>
            <w:r>
              <w:rPr>
                <w:rFonts w:ascii="Century Gothic" w:hAnsi="Century Gothic" w:cs="Arial"/>
                <w:color w:val="002060"/>
                <w:sz w:val="20"/>
                <w:szCs w:val="20"/>
              </w:rPr>
              <w:t xml:space="preserve"> of primary care savings,</w:t>
            </w:r>
          </w:p>
          <w:p w14:paraId="7E8D90F3" w14:textId="506B4EA0" w:rsidR="00426270" w:rsidRDefault="00426270" w:rsidP="00426270">
            <w:pPr>
              <w:pStyle w:val="ListParagraph"/>
              <w:numPr>
                <w:ilvl w:val="2"/>
                <w:numId w:val="1"/>
              </w:numPr>
              <w:rPr>
                <w:rFonts w:ascii="Century Gothic" w:hAnsi="Century Gothic" w:cs="Arial"/>
                <w:color w:val="002060"/>
                <w:sz w:val="20"/>
                <w:szCs w:val="20"/>
              </w:rPr>
            </w:pPr>
            <w:r w:rsidRPr="00426270">
              <w:rPr>
                <w:rFonts w:ascii="Century Gothic" w:hAnsi="Century Gothic" w:cs="Arial"/>
                <w:color w:val="002060"/>
                <w:sz w:val="20"/>
                <w:szCs w:val="20"/>
              </w:rPr>
              <w:t>£17,868.38</w:t>
            </w:r>
            <w:r>
              <w:rPr>
                <w:rFonts w:ascii="Century Gothic" w:hAnsi="Century Gothic" w:cs="Arial"/>
                <w:color w:val="002060"/>
                <w:sz w:val="20"/>
                <w:szCs w:val="20"/>
              </w:rPr>
              <w:t xml:space="preserve"> of mental health savings</w:t>
            </w:r>
          </w:p>
          <w:p w14:paraId="7F41A8CF" w14:textId="72D805BD" w:rsidR="00426270" w:rsidRDefault="00426270" w:rsidP="00426270">
            <w:pPr>
              <w:pStyle w:val="ListParagraph"/>
              <w:numPr>
                <w:ilvl w:val="2"/>
                <w:numId w:val="1"/>
              </w:numPr>
              <w:rPr>
                <w:rFonts w:ascii="Century Gothic" w:hAnsi="Century Gothic" w:cs="Arial"/>
                <w:color w:val="002060"/>
                <w:sz w:val="20"/>
                <w:szCs w:val="20"/>
              </w:rPr>
            </w:pPr>
            <w:r>
              <w:rPr>
                <w:rFonts w:ascii="Century Gothic" w:hAnsi="Century Gothic" w:cs="Arial"/>
                <w:color w:val="002060"/>
                <w:sz w:val="20"/>
                <w:szCs w:val="20"/>
              </w:rPr>
              <w:t>£20,250.83</w:t>
            </w:r>
            <w:r w:rsidR="006738A1">
              <w:rPr>
                <w:rFonts w:ascii="Century Gothic" w:hAnsi="Century Gothic" w:cs="Arial"/>
                <w:color w:val="002060"/>
                <w:sz w:val="20"/>
                <w:szCs w:val="20"/>
              </w:rPr>
              <w:t xml:space="preserve"> of total savings</w:t>
            </w:r>
          </w:p>
          <w:p w14:paraId="2DB5F9AE" w14:textId="767A98D0" w:rsidR="009634D3" w:rsidRDefault="009634D3" w:rsidP="009634D3">
            <w:pPr>
              <w:pStyle w:val="ListParagraph"/>
              <w:numPr>
                <w:ilvl w:val="1"/>
                <w:numId w:val="1"/>
              </w:numPr>
              <w:rPr>
                <w:rFonts w:ascii="Century Gothic" w:hAnsi="Century Gothic" w:cs="Arial"/>
                <w:color w:val="002060"/>
                <w:sz w:val="20"/>
                <w:szCs w:val="20"/>
              </w:rPr>
            </w:pPr>
            <w:r>
              <w:rPr>
                <w:rFonts w:ascii="Century Gothic" w:hAnsi="Century Gothic" w:cs="Arial"/>
                <w:color w:val="002060"/>
                <w:sz w:val="20"/>
                <w:szCs w:val="20"/>
              </w:rPr>
              <w:lastRenderedPageBreak/>
              <w:t>If the same approach were to be applied to the entire ICB this would lead to:</w:t>
            </w:r>
          </w:p>
          <w:p w14:paraId="78BBF2E6" w14:textId="1EAF8ADE" w:rsidR="009634D3" w:rsidRDefault="009634D3" w:rsidP="009634D3">
            <w:pPr>
              <w:pStyle w:val="ListParagraph"/>
              <w:numPr>
                <w:ilvl w:val="2"/>
                <w:numId w:val="1"/>
              </w:numPr>
              <w:rPr>
                <w:rFonts w:ascii="Century Gothic" w:hAnsi="Century Gothic" w:cs="Arial"/>
                <w:color w:val="002060"/>
                <w:sz w:val="20"/>
                <w:szCs w:val="20"/>
              </w:rPr>
            </w:pPr>
            <w:r w:rsidRPr="009634D3">
              <w:rPr>
                <w:rFonts w:ascii="Century Gothic" w:hAnsi="Century Gothic" w:cs="Arial"/>
                <w:color w:val="002060"/>
                <w:sz w:val="20"/>
                <w:szCs w:val="20"/>
              </w:rPr>
              <w:t>£59,584.61</w:t>
            </w:r>
            <w:r>
              <w:rPr>
                <w:rFonts w:ascii="Century Gothic" w:hAnsi="Century Gothic" w:cs="Arial"/>
                <w:color w:val="002060"/>
                <w:sz w:val="20"/>
                <w:szCs w:val="20"/>
              </w:rPr>
              <w:t xml:space="preserve"> </w:t>
            </w:r>
            <w:r>
              <w:rPr>
                <w:rFonts w:ascii="Century Gothic" w:hAnsi="Century Gothic" w:cs="Arial"/>
                <w:color w:val="002060"/>
                <w:sz w:val="20"/>
                <w:szCs w:val="20"/>
              </w:rPr>
              <w:t>of primary care savings,</w:t>
            </w:r>
          </w:p>
          <w:p w14:paraId="78001428" w14:textId="6C472E97" w:rsidR="009634D3" w:rsidRDefault="009634D3" w:rsidP="009634D3">
            <w:pPr>
              <w:pStyle w:val="ListParagraph"/>
              <w:numPr>
                <w:ilvl w:val="2"/>
                <w:numId w:val="1"/>
              </w:numPr>
              <w:rPr>
                <w:rFonts w:ascii="Century Gothic" w:hAnsi="Century Gothic" w:cs="Arial"/>
                <w:color w:val="002060"/>
                <w:sz w:val="20"/>
                <w:szCs w:val="20"/>
              </w:rPr>
            </w:pPr>
            <w:r w:rsidRPr="009634D3">
              <w:rPr>
                <w:rFonts w:ascii="Century Gothic" w:hAnsi="Century Gothic" w:cs="Arial"/>
                <w:color w:val="002060"/>
                <w:sz w:val="20"/>
                <w:szCs w:val="20"/>
              </w:rPr>
              <w:t>£198,615.38</w:t>
            </w:r>
            <w:r>
              <w:rPr>
                <w:rFonts w:ascii="Century Gothic" w:hAnsi="Century Gothic" w:cs="Arial"/>
                <w:color w:val="002060"/>
                <w:sz w:val="20"/>
                <w:szCs w:val="20"/>
              </w:rPr>
              <w:t xml:space="preserve"> </w:t>
            </w:r>
            <w:r>
              <w:rPr>
                <w:rFonts w:ascii="Century Gothic" w:hAnsi="Century Gothic" w:cs="Arial"/>
                <w:color w:val="002060"/>
                <w:sz w:val="20"/>
                <w:szCs w:val="20"/>
              </w:rPr>
              <w:t>of mental health savings</w:t>
            </w:r>
          </w:p>
          <w:p w14:paraId="53046FF0" w14:textId="0736C85B" w:rsidR="009634D3" w:rsidRDefault="009634D3" w:rsidP="009634D3">
            <w:pPr>
              <w:pStyle w:val="ListParagraph"/>
              <w:numPr>
                <w:ilvl w:val="2"/>
                <w:numId w:val="1"/>
              </w:numPr>
              <w:rPr>
                <w:rFonts w:ascii="Century Gothic" w:hAnsi="Century Gothic" w:cs="Arial"/>
                <w:color w:val="002060"/>
                <w:sz w:val="20"/>
                <w:szCs w:val="20"/>
              </w:rPr>
            </w:pPr>
            <w:r w:rsidRPr="009634D3">
              <w:rPr>
                <w:rFonts w:ascii="Century Gothic" w:hAnsi="Century Gothic" w:cs="Arial"/>
                <w:color w:val="002060"/>
                <w:sz w:val="20"/>
                <w:szCs w:val="20"/>
              </w:rPr>
              <w:t>£225,097.43</w:t>
            </w:r>
            <w:r>
              <w:rPr>
                <w:rFonts w:ascii="Century Gothic" w:hAnsi="Century Gothic" w:cs="Arial"/>
                <w:color w:val="002060"/>
                <w:sz w:val="20"/>
                <w:szCs w:val="20"/>
              </w:rPr>
              <w:t xml:space="preserve"> of total savings</w:t>
            </w:r>
          </w:p>
          <w:p w14:paraId="11197C2B" w14:textId="77777777" w:rsidR="009634D3" w:rsidRDefault="009634D3" w:rsidP="009634D3">
            <w:pPr>
              <w:pStyle w:val="ListParagraph"/>
              <w:numPr>
                <w:ilvl w:val="0"/>
                <w:numId w:val="1"/>
              </w:numPr>
              <w:rPr>
                <w:rFonts w:ascii="Century Gothic" w:hAnsi="Century Gothic" w:cs="Arial"/>
                <w:color w:val="002060"/>
                <w:sz w:val="20"/>
                <w:szCs w:val="20"/>
              </w:rPr>
            </w:pPr>
            <w:r>
              <w:rPr>
                <w:rFonts w:ascii="Century Gothic" w:hAnsi="Century Gothic" w:cs="Arial"/>
                <w:color w:val="002060"/>
                <w:sz w:val="20"/>
                <w:szCs w:val="20"/>
              </w:rPr>
              <w:t xml:space="preserve">CCMI </w:t>
            </w:r>
          </w:p>
          <w:p w14:paraId="3C84779F" w14:textId="472594D9" w:rsidR="009634D3" w:rsidRDefault="009634D3" w:rsidP="009634D3">
            <w:pPr>
              <w:pStyle w:val="ListParagraph"/>
              <w:numPr>
                <w:ilvl w:val="1"/>
                <w:numId w:val="1"/>
              </w:numPr>
              <w:rPr>
                <w:rFonts w:ascii="Century Gothic" w:hAnsi="Century Gothic" w:cs="Arial"/>
                <w:color w:val="002060"/>
                <w:sz w:val="20"/>
                <w:szCs w:val="20"/>
              </w:rPr>
            </w:pPr>
            <w:r>
              <w:rPr>
                <w:rFonts w:ascii="Century Gothic" w:hAnsi="Century Gothic" w:cs="Arial"/>
                <w:color w:val="002060"/>
                <w:sz w:val="20"/>
                <w:szCs w:val="20"/>
              </w:rPr>
              <w:t xml:space="preserve">The PCNs completed physical health checks in </w:t>
            </w:r>
            <w:r w:rsidRPr="009634D3">
              <w:rPr>
                <w:rFonts w:ascii="Century Gothic" w:hAnsi="Century Gothic" w:cs="Arial"/>
                <w:color w:val="002060"/>
                <w:sz w:val="20"/>
                <w:szCs w:val="20"/>
              </w:rPr>
              <w:t>82%</w:t>
            </w:r>
            <w:r>
              <w:rPr>
                <w:rFonts w:ascii="Century Gothic" w:hAnsi="Century Gothic" w:cs="Arial"/>
                <w:color w:val="002060"/>
                <w:sz w:val="20"/>
                <w:szCs w:val="20"/>
              </w:rPr>
              <w:t xml:space="preserve">% of patients </w:t>
            </w:r>
            <w:r w:rsidRPr="00A63676">
              <w:rPr>
                <w:rFonts w:ascii="Century Gothic" w:hAnsi="Century Gothic" w:cs="Arial"/>
                <w:color w:val="002060"/>
                <w:sz w:val="20"/>
                <w:szCs w:val="20"/>
              </w:rPr>
              <w:t xml:space="preserve">compared to </w:t>
            </w:r>
            <w:r w:rsidRPr="009634D3">
              <w:rPr>
                <w:rFonts w:ascii="Century Gothic" w:hAnsi="Century Gothic" w:cs="Arial"/>
                <w:color w:val="002060"/>
                <w:sz w:val="20"/>
                <w:szCs w:val="20"/>
              </w:rPr>
              <w:t>62%</w:t>
            </w:r>
            <w:r w:rsidRPr="00A63676">
              <w:rPr>
                <w:rFonts w:ascii="Century Gothic" w:hAnsi="Century Gothic" w:cs="Arial"/>
                <w:color w:val="002060"/>
                <w:sz w:val="20"/>
                <w:szCs w:val="20"/>
              </w:rPr>
              <w:t xml:space="preserve"> </w:t>
            </w:r>
            <w:r>
              <w:rPr>
                <w:rFonts w:ascii="Century Gothic" w:hAnsi="Century Gothic" w:cs="Arial"/>
                <w:color w:val="002060"/>
                <w:sz w:val="20"/>
                <w:szCs w:val="20"/>
              </w:rPr>
              <w:t>across</w:t>
            </w:r>
            <w:r w:rsidRPr="00A63676">
              <w:rPr>
                <w:rFonts w:ascii="Century Gothic" w:hAnsi="Century Gothic" w:cs="Arial"/>
                <w:color w:val="002060"/>
                <w:sz w:val="20"/>
                <w:szCs w:val="20"/>
              </w:rPr>
              <w:t xml:space="preserve"> NW London ICS practices.  </w:t>
            </w:r>
            <w:r>
              <w:rPr>
                <w:rFonts w:ascii="Century Gothic" w:hAnsi="Century Gothic" w:cs="Arial"/>
                <w:color w:val="002060"/>
                <w:sz w:val="20"/>
                <w:szCs w:val="20"/>
              </w:rPr>
              <w:t xml:space="preserve">This meant an additional </w:t>
            </w:r>
            <w:r>
              <w:rPr>
                <w:rFonts w:ascii="Century Gothic" w:hAnsi="Century Gothic" w:cs="Arial"/>
                <w:color w:val="002060"/>
                <w:sz w:val="20"/>
                <w:szCs w:val="20"/>
              </w:rPr>
              <w:t>210</w:t>
            </w:r>
            <w:r>
              <w:rPr>
                <w:rFonts w:ascii="Century Gothic" w:hAnsi="Century Gothic" w:cs="Arial"/>
                <w:color w:val="002060"/>
                <w:sz w:val="20"/>
                <w:szCs w:val="20"/>
              </w:rPr>
              <w:t xml:space="preserve"> patients benefitted from a complete physical health check (including 20 key data points)</w:t>
            </w:r>
          </w:p>
          <w:p w14:paraId="6DCD31B9" w14:textId="355B2ADE" w:rsidR="00426270" w:rsidRPr="009634D3" w:rsidRDefault="009634D3" w:rsidP="009634D3">
            <w:pPr>
              <w:pStyle w:val="ListParagraph"/>
              <w:numPr>
                <w:ilvl w:val="1"/>
                <w:numId w:val="1"/>
              </w:numPr>
              <w:rPr>
                <w:rFonts w:ascii="Century Gothic" w:hAnsi="Century Gothic" w:cs="Arial"/>
                <w:color w:val="002060"/>
                <w:sz w:val="20"/>
                <w:szCs w:val="20"/>
              </w:rPr>
            </w:pPr>
            <w:r>
              <w:rPr>
                <w:rFonts w:ascii="Century Gothic" w:hAnsi="Century Gothic" w:cs="Arial"/>
                <w:color w:val="002060"/>
                <w:sz w:val="20"/>
                <w:szCs w:val="20"/>
              </w:rPr>
              <w:t xml:space="preserve">Were the same benefits to be seen across the ICS an additional </w:t>
            </w:r>
            <w:r>
              <w:rPr>
                <w:rFonts w:ascii="Century Gothic" w:hAnsi="Century Gothic" w:cs="Arial"/>
                <w:color w:val="002060"/>
                <w:sz w:val="20"/>
                <w:szCs w:val="20"/>
              </w:rPr>
              <w:t>1438</w:t>
            </w:r>
            <w:r>
              <w:rPr>
                <w:rFonts w:ascii="Century Gothic" w:hAnsi="Century Gothic" w:cs="Arial"/>
                <w:color w:val="002060"/>
                <w:sz w:val="20"/>
                <w:szCs w:val="20"/>
              </w:rPr>
              <w:t xml:space="preserve"> patients could have health checks that currently </w:t>
            </w:r>
            <w:proofErr w:type="gramStart"/>
            <w:r>
              <w:rPr>
                <w:rFonts w:ascii="Century Gothic" w:hAnsi="Century Gothic" w:cs="Arial"/>
                <w:color w:val="002060"/>
                <w:sz w:val="20"/>
                <w:szCs w:val="20"/>
              </w:rPr>
              <w:t>haven’t</w:t>
            </w:r>
            <w:proofErr w:type="gramEnd"/>
          </w:p>
          <w:p w14:paraId="73F967FC"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This resulted in wider ICS objectives for ND</w:t>
            </w:r>
            <w:r>
              <w:rPr>
                <w:rFonts w:ascii="Century Gothic" w:hAnsi="Century Gothic" w:cs="Arial"/>
                <w:color w:val="002060"/>
                <w:sz w:val="20"/>
                <w:szCs w:val="20"/>
              </w:rPr>
              <w:t>H</w:t>
            </w:r>
            <w:r w:rsidRPr="00A63676">
              <w:rPr>
                <w:rFonts w:ascii="Century Gothic" w:hAnsi="Century Gothic" w:cs="Arial"/>
                <w:color w:val="002060"/>
                <w:sz w:val="20"/>
                <w:szCs w:val="20"/>
              </w:rPr>
              <w:t xml:space="preserve"> being </w:t>
            </w:r>
            <w:proofErr w:type="gramStart"/>
            <w:r w:rsidRPr="00A63676">
              <w:rPr>
                <w:rFonts w:ascii="Century Gothic" w:hAnsi="Century Gothic" w:cs="Arial"/>
                <w:color w:val="002060"/>
                <w:sz w:val="20"/>
                <w:szCs w:val="20"/>
              </w:rPr>
              <w:t>met</w:t>
            </w:r>
            <w:proofErr w:type="gramEnd"/>
          </w:p>
          <w:p w14:paraId="42173066" w14:textId="77777777" w:rsidR="00426270" w:rsidRPr="00A63676"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High provider satisfaction against contract requirements in 2023/23</w:t>
            </w:r>
          </w:p>
          <w:p w14:paraId="0EA88AA8" w14:textId="77777777" w:rsidR="00426270" w:rsidRDefault="00426270"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Practice by practice performance report forecasting the end-of year posit</w:t>
            </w:r>
            <w:r>
              <w:rPr>
                <w:rFonts w:ascii="Century Gothic" w:hAnsi="Century Gothic" w:cs="Arial"/>
                <w:color w:val="002060"/>
                <w:sz w:val="20"/>
                <w:szCs w:val="20"/>
              </w:rPr>
              <w:t>i</w:t>
            </w:r>
            <w:r w:rsidRPr="00A63676">
              <w:rPr>
                <w:rFonts w:ascii="Century Gothic" w:hAnsi="Century Gothic" w:cs="Arial"/>
                <w:color w:val="002060"/>
                <w:sz w:val="20"/>
                <w:szCs w:val="20"/>
              </w:rPr>
              <w:t xml:space="preserve">on which improved planning and resource </w:t>
            </w:r>
            <w:proofErr w:type="gramStart"/>
            <w:r w:rsidRPr="00A63676">
              <w:rPr>
                <w:rFonts w:ascii="Century Gothic" w:hAnsi="Century Gothic" w:cs="Arial"/>
                <w:color w:val="002060"/>
                <w:sz w:val="20"/>
                <w:szCs w:val="20"/>
              </w:rPr>
              <w:t>allocation</w:t>
            </w:r>
            <w:proofErr w:type="gramEnd"/>
          </w:p>
          <w:p w14:paraId="7C3C73B3" w14:textId="77777777" w:rsidR="00426270" w:rsidRPr="009634D3" w:rsidRDefault="00426270" w:rsidP="009634D3">
            <w:pPr>
              <w:ind w:left="34"/>
              <w:rPr>
                <w:rFonts w:ascii="Century Gothic" w:hAnsi="Century Gothic" w:cs="Arial"/>
                <w:b/>
                <w:sz w:val="20"/>
                <w:szCs w:val="20"/>
              </w:rPr>
            </w:pPr>
          </w:p>
        </w:tc>
      </w:tr>
    </w:tbl>
    <w:p w14:paraId="5914B402" w14:textId="77777777" w:rsidR="00426270" w:rsidRDefault="00426270" w:rsidP="00426270">
      <w:pPr>
        <w:rPr>
          <w:rFonts w:ascii="Arial" w:hAnsi="Arial" w:cs="Arial"/>
          <w:b/>
          <w:sz w:val="32"/>
          <w:szCs w:val="32"/>
        </w:rPr>
      </w:pPr>
    </w:p>
    <w:p w14:paraId="0A4AA911" w14:textId="634D9194" w:rsidR="00426270" w:rsidRDefault="00426270" w:rsidP="00426270">
      <w:pPr>
        <w:pStyle w:val="ListParagraph"/>
        <w:numPr>
          <w:ilvl w:val="0"/>
          <w:numId w:val="2"/>
        </w:numPr>
      </w:pPr>
      <w:r w:rsidRPr="00426270">
        <w:t>https://www.journalslibrary.nihr.ac.uk/hsdr/hsdr08250#/scientific-summary</w:t>
      </w:r>
    </w:p>
    <w:p w14:paraId="6D4499B6" w14:textId="77777777" w:rsidR="00426270" w:rsidRDefault="00426270" w:rsidP="00426270"/>
    <w:p w14:paraId="04302111" w14:textId="77777777" w:rsidR="002753CF" w:rsidRDefault="002753CF"/>
    <w:sectPr w:rsidR="002753CF" w:rsidSect="009A6CED">
      <w:pgSz w:w="11906" w:h="16838"/>
      <w:pgMar w:top="709" w:right="873" w:bottom="1440"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95762"/>
    <w:multiLevelType w:val="hybridMultilevel"/>
    <w:tmpl w:val="BD7485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276852"/>
    <w:multiLevelType w:val="hybridMultilevel"/>
    <w:tmpl w:val="846EF32C"/>
    <w:lvl w:ilvl="0" w:tplc="439C22A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706233">
    <w:abstractNumId w:val="1"/>
  </w:num>
  <w:num w:numId="2" w16cid:durableId="162275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70"/>
    <w:rsid w:val="002753CF"/>
    <w:rsid w:val="002E0A01"/>
    <w:rsid w:val="00426270"/>
    <w:rsid w:val="006738A1"/>
    <w:rsid w:val="009634D3"/>
    <w:rsid w:val="00FD4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BAF527"/>
  <w15:chartTrackingRefBased/>
  <w15:docId w15:val="{AD0543F6-BFCF-1F4C-A346-6A30615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0034">
      <w:bodyDiv w:val="1"/>
      <w:marLeft w:val="0"/>
      <w:marRight w:val="0"/>
      <w:marTop w:val="0"/>
      <w:marBottom w:val="0"/>
      <w:divBdr>
        <w:top w:val="none" w:sz="0" w:space="0" w:color="auto"/>
        <w:left w:val="none" w:sz="0" w:space="0" w:color="auto"/>
        <w:bottom w:val="none" w:sz="0" w:space="0" w:color="auto"/>
        <w:right w:val="none" w:sz="0" w:space="0" w:color="auto"/>
      </w:divBdr>
    </w:div>
    <w:div w:id="442304889">
      <w:bodyDiv w:val="1"/>
      <w:marLeft w:val="0"/>
      <w:marRight w:val="0"/>
      <w:marTop w:val="0"/>
      <w:marBottom w:val="0"/>
      <w:divBdr>
        <w:top w:val="none" w:sz="0" w:space="0" w:color="auto"/>
        <w:left w:val="none" w:sz="0" w:space="0" w:color="auto"/>
        <w:bottom w:val="none" w:sz="0" w:space="0" w:color="auto"/>
        <w:right w:val="none" w:sz="0" w:space="0" w:color="auto"/>
      </w:divBdr>
    </w:div>
    <w:div w:id="472064916">
      <w:bodyDiv w:val="1"/>
      <w:marLeft w:val="0"/>
      <w:marRight w:val="0"/>
      <w:marTop w:val="0"/>
      <w:marBottom w:val="0"/>
      <w:divBdr>
        <w:top w:val="none" w:sz="0" w:space="0" w:color="auto"/>
        <w:left w:val="none" w:sz="0" w:space="0" w:color="auto"/>
        <w:bottom w:val="none" w:sz="0" w:space="0" w:color="auto"/>
        <w:right w:val="none" w:sz="0" w:space="0" w:color="auto"/>
      </w:divBdr>
    </w:div>
    <w:div w:id="481233513">
      <w:bodyDiv w:val="1"/>
      <w:marLeft w:val="0"/>
      <w:marRight w:val="0"/>
      <w:marTop w:val="0"/>
      <w:marBottom w:val="0"/>
      <w:divBdr>
        <w:top w:val="none" w:sz="0" w:space="0" w:color="auto"/>
        <w:left w:val="none" w:sz="0" w:space="0" w:color="auto"/>
        <w:bottom w:val="none" w:sz="0" w:space="0" w:color="auto"/>
        <w:right w:val="none" w:sz="0" w:space="0" w:color="auto"/>
      </w:divBdr>
    </w:div>
    <w:div w:id="991368185">
      <w:bodyDiv w:val="1"/>
      <w:marLeft w:val="0"/>
      <w:marRight w:val="0"/>
      <w:marTop w:val="0"/>
      <w:marBottom w:val="0"/>
      <w:divBdr>
        <w:top w:val="none" w:sz="0" w:space="0" w:color="auto"/>
        <w:left w:val="none" w:sz="0" w:space="0" w:color="auto"/>
        <w:bottom w:val="none" w:sz="0" w:space="0" w:color="auto"/>
        <w:right w:val="none" w:sz="0" w:space="0" w:color="auto"/>
      </w:divBdr>
    </w:div>
    <w:div w:id="1198738985">
      <w:bodyDiv w:val="1"/>
      <w:marLeft w:val="0"/>
      <w:marRight w:val="0"/>
      <w:marTop w:val="0"/>
      <w:marBottom w:val="0"/>
      <w:divBdr>
        <w:top w:val="none" w:sz="0" w:space="0" w:color="auto"/>
        <w:left w:val="none" w:sz="0" w:space="0" w:color="auto"/>
        <w:bottom w:val="none" w:sz="0" w:space="0" w:color="auto"/>
        <w:right w:val="none" w:sz="0" w:space="0" w:color="auto"/>
      </w:divBdr>
    </w:div>
    <w:div w:id="1730348162">
      <w:bodyDiv w:val="1"/>
      <w:marLeft w:val="0"/>
      <w:marRight w:val="0"/>
      <w:marTop w:val="0"/>
      <w:marBottom w:val="0"/>
      <w:divBdr>
        <w:top w:val="none" w:sz="0" w:space="0" w:color="auto"/>
        <w:left w:val="none" w:sz="0" w:space="0" w:color="auto"/>
        <w:bottom w:val="none" w:sz="0" w:space="0" w:color="auto"/>
        <w:right w:val="none" w:sz="0" w:space="0" w:color="auto"/>
      </w:divBdr>
    </w:div>
    <w:div w:id="1754204018">
      <w:bodyDiv w:val="1"/>
      <w:marLeft w:val="0"/>
      <w:marRight w:val="0"/>
      <w:marTop w:val="0"/>
      <w:marBottom w:val="0"/>
      <w:divBdr>
        <w:top w:val="none" w:sz="0" w:space="0" w:color="auto"/>
        <w:left w:val="none" w:sz="0" w:space="0" w:color="auto"/>
        <w:bottom w:val="none" w:sz="0" w:space="0" w:color="auto"/>
        <w:right w:val="none" w:sz="0" w:space="0" w:color="auto"/>
      </w:divBdr>
    </w:div>
    <w:div w:id="20940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Dustyn Saint</dc:creator>
  <cp:keywords/>
  <dc:description/>
  <cp:lastModifiedBy>Dustyn Saint</cp:lastModifiedBy>
  <cp:revision>1</cp:revision>
  <dcterms:created xsi:type="dcterms:W3CDTF">2023-05-25T06:41:00Z</dcterms:created>
  <dcterms:modified xsi:type="dcterms:W3CDTF">2023-05-25T13:54:00Z</dcterms:modified>
</cp:coreProperties>
</file>