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86AB5" w14:textId="0020A9C0" w:rsidR="00A4474A" w:rsidRPr="00A0657A" w:rsidRDefault="00A4474A" w:rsidP="00A0657A">
      <w:pPr>
        <w:pStyle w:val="Heading1"/>
        <w:pBdr>
          <w:bottom w:val="single" w:sz="6" w:space="1" w:color="auto"/>
        </w:pBdr>
        <w:spacing w:before="0" w:after="300" w:line="660" w:lineRule="atLeast"/>
        <w:textAlignment w:val="baseline"/>
        <w:rPr>
          <w:rFonts w:ascii="Georgia" w:hAnsi="Georgia"/>
          <w:color w:val="0F243E" w:themeColor="text2" w:themeShade="80"/>
          <w:sz w:val="57"/>
          <w:szCs w:val="57"/>
        </w:rPr>
      </w:pPr>
      <w:r w:rsidRPr="00A4474A">
        <w:rPr>
          <w:rFonts w:ascii="Georgia" w:hAnsi="Georgia"/>
          <w:color w:val="0F243E" w:themeColor="text2" w:themeShade="80"/>
          <w:sz w:val="57"/>
          <w:szCs w:val="57"/>
        </w:rPr>
        <w:t>Oxford COVID-19 Evidence Service</w:t>
      </w:r>
    </w:p>
    <w:p w14:paraId="6DD24F4F" w14:textId="71DE82FA" w:rsidR="00C110BA" w:rsidRPr="00210D95" w:rsidRDefault="00101314" w:rsidP="00210D95">
      <w:pPr>
        <w:pStyle w:val="Heading1"/>
        <w:rPr>
          <w:color w:val="000000" w:themeColor="text1"/>
          <w:highlight w:val="white"/>
        </w:rPr>
      </w:pPr>
      <w:r w:rsidRPr="00210D95">
        <w:rPr>
          <w:color w:val="000000" w:themeColor="text1"/>
          <w:highlight w:val="white"/>
        </w:rPr>
        <w:t xml:space="preserve">Are there any </w:t>
      </w:r>
      <w:r w:rsidR="00A4474A">
        <w:rPr>
          <w:color w:val="000000" w:themeColor="text1"/>
          <w:highlight w:val="white"/>
        </w:rPr>
        <w:t>e</w:t>
      </w:r>
      <w:r w:rsidRPr="00210D95">
        <w:rPr>
          <w:color w:val="000000" w:themeColor="text1"/>
          <w:highlight w:val="white"/>
        </w:rPr>
        <w:t>vidence</w:t>
      </w:r>
      <w:r w:rsidR="00A4474A">
        <w:rPr>
          <w:color w:val="000000" w:themeColor="text1"/>
          <w:highlight w:val="white"/>
        </w:rPr>
        <w:t>-b</w:t>
      </w:r>
      <w:r w:rsidRPr="00210D95">
        <w:rPr>
          <w:color w:val="000000" w:themeColor="text1"/>
          <w:highlight w:val="white"/>
        </w:rPr>
        <w:t xml:space="preserve">ased ways of assessing </w:t>
      </w:r>
      <w:r w:rsidR="002336FB" w:rsidRPr="00210D95">
        <w:rPr>
          <w:color w:val="000000" w:themeColor="text1"/>
          <w:highlight w:val="white"/>
        </w:rPr>
        <w:t>d</w:t>
      </w:r>
      <w:r w:rsidRPr="00210D95">
        <w:rPr>
          <w:color w:val="000000" w:themeColor="text1"/>
          <w:highlight w:val="white"/>
        </w:rPr>
        <w:t xml:space="preserve">yspnoea </w:t>
      </w:r>
      <w:r w:rsidR="00151B69">
        <w:rPr>
          <w:color w:val="000000" w:themeColor="text1"/>
          <w:highlight w:val="white"/>
        </w:rPr>
        <w:t xml:space="preserve">(breathlessness) </w:t>
      </w:r>
      <w:r w:rsidR="00A4474A">
        <w:rPr>
          <w:color w:val="000000" w:themeColor="text1"/>
          <w:highlight w:val="white"/>
        </w:rPr>
        <w:t>by telephone</w:t>
      </w:r>
      <w:r w:rsidR="002D0523" w:rsidRPr="00210D95">
        <w:rPr>
          <w:color w:val="000000" w:themeColor="text1"/>
          <w:highlight w:val="white"/>
        </w:rPr>
        <w:t xml:space="preserve"> or video</w:t>
      </w:r>
      <w:r w:rsidRPr="00210D95">
        <w:rPr>
          <w:color w:val="000000" w:themeColor="text1"/>
          <w:highlight w:val="white"/>
        </w:rPr>
        <w:t>?</w:t>
      </w:r>
    </w:p>
    <w:p w14:paraId="38397453" w14:textId="77777777" w:rsidR="00A4474A" w:rsidRDefault="00A4474A" w:rsidP="00871A10">
      <w:pPr>
        <w:pStyle w:val="Heading2"/>
        <w:rPr>
          <w:highlight w:val="white"/>
        </w:rPr>
      </w:pPr>
      <w:r>
        <w:rPr>
          <w:highlight w:val="white"/>
        </w:rPr>
        <w:t>Short answer and clinical bottom line:</w:t>
      </w:r>
    </w:p>
    <w:p w14:paraId="4BE4694D" w14:textId="7F19C102" w:rsidR="00F3130A" w:rsidRPr="00F3130A" w:rsidRDefault="00882421" w:rsidP="00F3130A">
      <w:pPr>
        <w:rPr>
          <w:highlight w:val="white"/>
        </w:rPr>
      </w:pPr>
      <w:r>
        <w:rPr>
          <w:highlight w:val="white"/>
        </w:rPr>
        <w:t>We found</w:t>
      </w:r>
      <w:r w:rsidR="00F3130A" w:rsidRPr="00F3130A">
        <w:rPr>
          <w:highlight w:val="white"/>
        </w:rPr>
        <w:t xml:space="preserve"> no validated tests for assess</w:t>
      </w:r>
      <w:r w:rsidR="00151B69">
        <w:rPr>
          <w:highlight w:val="white"/>
        </w:rPr>
        <w:t>ing</w:t>
      </w:r>
      <w:r w:rsidR="00F3130A" w:rsidRPr="00F3130A">
        <w:rPr>
          <w:highlight w:val="white"/>
        </w:rPr>
        <w:t xml:space="preserve"> breathlessness in an acute primary care setting. </w:t>
      </w:r>
      <w:r>
        <w:rPr>
          <w:highlight w:val="white"/>
        </w:rPr>
        <w:t xml:space="preserve">We found </w:t>
      </w:r>
      <w:r w:rsidR="00F3130A" w:rsidRPr="00F3130A">
        <w:rPr>
          <w:highlight w:val="white"/>
        </w:rPr>
        <w:t>no evidence that attempts to measure a patient’s respiratory rate over the phone would give an accurate reading, and experts do not use</w:t>
      </w:r>
      <w:r w:rsidR="00F3130A">
        <w:rPr>
          <w:highlight w:val="white"/>
        </w:rPr>
        <w:t xml:space="preserve"> this</w:t>
      </w:r>
      <w:r w:rsidR="00F3130A" w:rsidRPr="00F3130A">
        <w:rPr>
          <w:highlight w:val="white"/>
        </w:rPr>
        <w:t xml:space="preserve"> test</w:t>
      </w:r>
      <w:r w:rsidR="00F3130A">
        <w:rPr>
          <w:highlight w:val="white"/>
        </w:rPr>
        <w:t xml:space="preserve"> in telephone consultations</w:t>
      </w:r>
      <w:r w:rsidR="00F3130A" w:rsidRPr="00F3130A">
        <w:rPr>
          <w:highlight w:val="white"/>
        </w:rPr>
        <w:t xml:space="preserve">. </w:t>
      </w:r>
      <w:r>
        <w:rPr>
          <w:highlight w:val="white"/>
        </w:rPr>
        <w:t>Our search identified</w:t>
      </w:r>
      <w:r w:rsidR="00151B69">
        <w:rPr>
          <w:highlight w:val="white"/>
        </w:rPr>
        <w:t xml:space="preserve"> a potentially promising test (the Roth score), which needs further research. </w:t>
      </w:r>
    </w:p>
    <w:p w14:paraId="6409A96C" w14:textId="42D930D8" w:rsidR="00151B69" w:rsidRDefault="00151B69" w:rsidP="00F3130A">
      <w:pPr>
        <w:rPr>
          <w:highlight w:val="white"/>
        </w:rPr>
      </w:pPr>
      <w:r>
        <w:rPr>
          <w:highlight w:val="white"/>
        </w:rPr>
        <w:t xml:space="preserve">Pending further research, </w:t>
      </w:r>
      <w:r w:rsidRPr="00151B69">
        <w:rPr>
          <w:b/>
          <w:highlight w:val="white"/>
        </w:rPr>
        <w:t xml:space="preserve">the recommendations </w:t>
      </w:r>
      <w:r>
        <w:rPr>
          <w:b/>
          <w:highlight w:val="white"/>
        </w:rPr>
        <w:t xml:space="preserve">below </w:t>
      </w:r>
      <w:r w:rsidRPr="00151B69">
        <w:rPr>
          <w:b/>
          <w:highlight w:val="white"/>
        </w:rPr>
        <w:t>are based on expert opinion</w:t>
      </w:r>
      <w:r>
        <w:rPr>
          <w:highlight w:val="white"/>
        </w:rPr>
        <w:t xml:space="preserve">. A rapid survey of 50 clinicians who regularly assess patients by phone (on 20.3.20) </w:t>
      </w:r>
      <w:r w:rsidR="00882421">
        <w:rPr>
          <w:highlight w:val="white"/>
        </w:rPr>
        <w:t xml:space="preserve">recommended not using the Roth score (though opinions were mixed) and </w:t>
      </w:r>
      <w:r>
        <w:rPr>
          <w:highlight w:val="white"/>
        </w:rPr>
        <w:t>gave the following advice:</w:t>
      </w:r>
    </w:p>
    <w:p w14:paraId="5E74308C" w14:textId="2E73FC89" w:rsidR="00882421" w:rsidRDefault="00882421" w:rsidP="00882421">
      <w:pPr>
        <w:pStyle w:val="ListParagraph"/>
        <w:numPr>
          <w:ilvl w:val="0"/>
          <w:numId w:val="9"/>
        </w:numPr>
        <w:rPr>
          <w:highlight w:val="white"/>
        </w:rPr>
      </w:pPr>
      <w:r>
        <w:rPr>
          <w:highlight w:val="white"/>
        </w:rPr>
        <w:t xml:space="preserve">Ask the patient to </w:t>
      </w:r>
      <w:r w:rsidRPr="00151B69">
        <w:rPr>
          <w:b/>
          <w:highlight w:val="white"/>
        </w:rPr>
        <w:t>describe the problem with their breathing in their own words</w:t>
      </w:r>
      <w:r>
        <w:rPr>
          <w:highlight w:val="white"/>
        </w:rPr>
        <w:t xml:space="preserve">, and assess the ease and comfort of their speech. </w:t>
      </w:r>
      <w:r w:rsidRPr="00151B69">
        <w:rPr>
          <w:highlight w:val="white"/>
        </w:rPr>
        <w:t>Ask open-ended question</w:t>
      </w:r>
      <w:r>
        <w:rPr>
          <w:highlight w:val="white"/>
        </w:rPr>
        <w:t xml:space="preserve">s and listen to </w:t>
      </w:r>
      <w:r w:rsidRPr="00882421">
        <w:rPr>
          <w:b/>
          <w:highlight w:val="white"/>
        </w:rPr>
        <w:t>whether the patient can complete their sentences</w:t>
      </w:r>
      <w:r>
        <w:rPr>
          <w:highlight w:val="white"/>
        </w:rPr>
        <w:t xml:space="preserve">. </w:t>
      </w:r>
    </w:p>
    <w:p w14:paraId="2A776093" w14:textId="40C0A897" w:rsidR="00882421" w:rsidRDefault="00882421" w:rsidP="00882421">
      <w:pPr>
        <w:spacing w:before="120" w:after="120"/>
        <w:ind w:left="714"/>
        <w:rPr>
          <w:i/>
          <w:highlight w:val="white"/>
        </w:rPr>
      </w:pPr>
      <w:r w:rsidRPr="00151B69">
        <w:rPr>
          <w:i/>
          <w:highlight w:val="white"/>
        </w:rPr>
        <w:t>“How is your breathing today?”</w:t>
      </w:r>
      <w:r w:rsidRPr="00882421">
        <w:rPr>
          <w:i/>
          <w:highlight w:val="white"/>
        </w:rPr>
        <w:t xml:space="preserve"> </w:t>
      </w:r>
    </w:p>
    <w:p w14:paraId="3A1083BF" w14:textId="77777777" w:rsidR="00882421" w:rsidRPr="00882421" w:rsidRDefault="00882421" w:rsidP="00882421">
      <w:pPr>
        <w:spacing w:before="120" w:after="120"/>
        <w:ind w:left="714"/>
        <w:rPr>
          <w:i/>
          <w:sz w:val="2"/>
          <w:szCs w:val="2"/>
          <w:highlight w:val="white"/>
        </w:rPr>
      </w:pPr>
    </w:p>
    <w:p w14:paraId="14A88F09" w14:textId="13337C17" w:rsidR="00F3130A" w:rsidRPr="00151B69" w:rsidRDefault="00151B69" w:rsidP="00151B69">
      <w:pPr>
        <w:pStyle w:val="ListParagraph"/>
        <w:numPr>
          <w:ilvl w:val="0"/>
          <w:numId w:val="9"/>
        </w:numPr>
        <w:rPr>
          <w:highlight w:val="white"/>
        </w:rPr>
      </w:pPr>
      <w:r w:rsidRPr="00151B69">
        <w:rPr>
          <w:b/>
          <w:highlight w:val="white"/>
        </w:rPr>
        <w:t xml:space="preserve">Align with </w:t>
      </w:r>
      <w:r w:rsidR="00F3130A" w:rsidRPr="00151B69">
        <w:rPr>
          <w:b/>
          <w:highlight w:val="white"/>
        </w:rPr>
        <w:t>NHS111 symptom checker</w:t>
      </w:r>
      <w:r w:rsidRPr="00151B69">
        <w:rPr>
          <w:highlight w:val="white"/>
        </w:rPr>
        <w:t xml:space="preserve">, </w:t>
      </w:r>
      <w:r>
        <w:rPr>
          <w:highlight w:val="white"/>
        </w:rPr>
        <w:t>which</w:t>
      </w:r>
      <w:r w:rsidR="00F3130A" w:rsidRPr="00151B69">
        <w:rPr>
          <w:highlight w:val="white"/>
        </w:rPr>
        <w:t xml:space="preserve"> asks th</w:t>
      </w:r>
      <w:r w:rsidR="00882421">
        <w:rPr>
          <w:highlight w:val="white"/>
        </w:rPr>
        <w:t>ree</w:t>
      </w:r>
      <w:r w:rsidR="00F3130A" w:rsidRPr="00151B69">
        <w:rPr>
          <w:highlight w:val="white"/>
        </w:rPr>
        <w:t xml:space="preserve"> questions </w:t>
      </w:r>
      <w:r w:rsidR="00882421">
        <w:rPr>
          <w:highlight w:val="white"/>
        </w:rPr>
        <w:t>(</w:t>
      </w:r>
      <w:r w:rsidR="00F3130A" w:rsidRPr="00151B69">
        <w:rPr>
          <w:highlight w:val="white"/>
        </w:rPr>
        <w:t>developed through user testing but not evaluated in formal research</w:t>
      </w:r>
      <w:r w:rsidR="00882421">
        <w:rPr>
          <w:highlight w:val="white"/>
        </w:rPr>
        <w:t>)</w:t>
      </w:r>
      <w:r w:rsidR="00F3130A" w:rsidRPr="00151B69">
        <w:rPr>
          <w:highlight w:val="white"/>
        </w:rPr>
        <w:t>:</w:t>
      </w:r>
    </w:p>
    <w:p w14:paraId="2183FA81" w14:textId="03BD293F" w:rsidR="00F3130A" w:rsidRPr="00151B69" w:rsidRDefault="00151B69" w:rsidP="00151B69">
      <w:pPr>
        <w:spacing w:before="120" w:after="120"/>
        <w:ind w:left="714"/>
        <w:rPr>
          <w:i/>
          <w:highlight w:val="white"/>
        </w:rPr>
      </w:pPr>
      <w:r w:rsidRPr="00151B69">
        <w:rPr>
          <w:i/>
          <w:highlight w:val="white"/>
        </w:rPr>
        <w:t>“</w:t>
      </w:r>
      <w:r w:rsidR="00F3130A" w:rsidRPr="00151B69">
        <w:rPr>
          <w:i/>
          <w:highlight w:val="white"/>
        </w:rPr>
        <w:t>Are you so breathless that you are unable to speak more than a few words?</w:t>
      </w:r>
      <w:r w:rsidRPr="00151B69">
        <w:rPr>
          <w:i/>
          <w:highlight w:val="white"/>
        </w:rPr>
        <w:t>”</w:t>
      </w:r>
    </w:p>
    <w:p w14:paraId="5F2DDD1C" w14:textId="1D09D61C" w:rsidR="00F3130A" w:rsidRPr="00151B69" w:rsidRDefault="00151B69" w:rsidP="00151B69">
      <w:pPr>
        <w:spacing w:before="120" w:after="120"/>
        <w:ind w:left="714"/>
        <w:rPr>
          <w:i/>
          <w:highlight w:val="white"/>
        </w:rPr>
      </w:pPr>
      <w:r w:rsidRPr="00151B69">
        <w:rPr>
          <w:i/>
          <w:highlight w:val="white"/>
        </w:rPr>
        <w:t>“</w:t>
      </w:r>
      <w:r w:rsidR="00F3130A" w:rsidRPr="00151B69">
        <w:rPr>
          <w:i/>
          <w:highlight w:val="white"/>
        </w:rPr>
        <w:t>Are you breathing harder or faster than usual when doing nothing at all?</w:t>
      </w:r>
      <w:r w:rsidRPr="00151B69">
        <w:rPr>
          <w:i/>
          <w:highlight w:val="white"/>
        </w:rPr>
        <w:t>”</w:t>
      </w:r>
    </w:p>
    <w:p w14:paraId="767BE7AC" w14:textId="2B7B48EF" w:rsidR="00151B69" w:rsidRDefault="00151B69" w:rsidP="00882421">
      <w:pPr>
        <w:spacing w:before="120" w:after="120"/>
        <w:ind w:left="714"/>
        <w:rPr>
          <w:i/>
          <w:highlight w:val="white"/>
        </w:rPr>
      </w:pPr>
      <w:r w:rsidRPr="00151B69">
        <w:rPr>
          <w:i/>
          <w:highlight w:val="white"/>
        </w:rPr>
        <w:t>“</w:t>
      </w:r>
      <w:r w:rsidR="00F3130A" w:rsidRPr="00151B69">
        <w:rPr>
          <w:i/>
          <w:highlight w:val="white"/>
        </w:rPr>
        <w:t>Are you so ill that you've stopped doing all of your usual daily activities?</w:t>
      </w:r>
      <w:r w:rsidRPr="00151B69">
        <w:rPr>
          <w:i/>
          <w:highlight w:val="white"/>
        </w:rPr>
        <w:t>”</w:t>
      </w:r>
    </w:p>
    <w:p w14:paraId="33A9B78A" w14:textId="77777777" w:rsidR="00882421" w:rsidRPr="00882421" w:rsidRDefault="00882421" w:rsidP="00882421">
      <w:pPr>
        <w:spacing w:before="120" w:after="120"/>
        <w:ind w:left="714"/>
        <w:rPr>
          <w:i/>
          <w:sz w:val="2"/>
          <w:szCs w:val="2"/>
          <w:highlight w:val="white"/>
        </w:rPr>
      </w:pPr>
    </w:p>
    <w:p w14:paraId="7148DAD3" w14:textId="7C4A628E" w:rsidR="00151B69" w:rsidRPr="00151B69" w:rsidRDefault="00151B69" w:rsidP="00151B69">
      <w:pPr>
        <w:pStyle w:val="ListParagraph"/>
        <w:numPr>
          <w:ilvl w:val="0"/>
          <w:numId w:val="9"/>
        </w:numPr>
        <w:rPr>
          <w:highlight w:val="white"/>
        </w:rPr>
      </w:pPr>
      <w:r w:rsidRPr="00882421">
        <w:rPr>
          <w:highlight w:val="white"/>
        </w:rPr>
        <w:t>Focus on change</w:t>
      </w:r>
      <w:r>
        <w:rPr>
          <w:highlight w:val="white"/>
        </w:rPr>
        <w:t xml:space="preserve">. </w:t>
      </w:r>
      <w:r w:rsidRPr="00882421">
        <w:rPr>
          <w:b/>
          <w:highlight w:val="white"/>
        </w:rPr>
        <w:t xml:space="preserve">A clear story of deterioration </w:t>
      </w:r>
      <w:r w:rsidRPr="00882421">
        <w:rPr>
          <w:highlight w:val="white"/>
        </w:rPr>
        <w:t>is more important</w:t>
      </w:r>
      <w:r>
        <w:rPr>
          <w:highlight w:val="white"/>
        </w:rPr>
        <w:t xml:space="preserve"> than whether the patient currently feels short of breath. Ask questions like</w:t>
      </w:r>
    </w:p>
    <w:p w14:paraId="168D72E0" w14:textId="77777777" w:rsidR="00882421" w:rsidRDefault="00882421" w:rsidP="00151B69">
      <w:pPr>
        <w:spacing w:before="120" w:after="120"/>
        <w:ind w:left="714"/>
        <w:rPr>
          <w:i/>
          <w:highlight w:val="white"/>
        </w:rPr>
      </w:pPr>
      <w:r w:rsidRPr="00882421">
        <w:rPr>
          <w:i/>
          <w:highlight w:val="white"/>
        </w:rPr>
        <w:t>“</w:t>
      </w:r>
      <w:r>
        <w:rPr>
          <w:i/>
          <w:highlight w:val="white"/>
        </w:rPr>
        <w:t>I</w:t>
      </w:r>
      <w:r w:rsidRPr="00882421">
        <w:rPr>
          <w:i/>
          <w:highlight w:val="white"/>
        </w:rPr>
        <w:t xml:space="preserve">s your breathing faster, slower or the same as normal?” </w:t>
      </w:r>
    </w:p>
    <w:p w14:paraId="389B4922" w14:textId="7524D357" w:rsidR="00882421" w:rsidRDefault="00882421" w:rsidP="00882421">
      <w:pPr>
        <w:spacing w:before="120" w:after="120"/>
        <w:ind w:left="714"/>
        <w:rPr>
          <w:highlight w:val="white"/>
        </w:rPr>
      </w:pPr>
      <w:r w:rsidRPr="00882421">
        <w:rPr>
          <w:i/>
          <w:highlight w:val="white"/>
        </w:rPr>
        <w:t>“</w:t>
      </w:r>
      <w:r w:rsidR="00D40C28">
        <w:rPr>
          <w:i/>
          <w:highlight w:val="white"/>
        </w:rPr>
        <w:t>W</w:t>
      </w:r>
      <w:r w:rsidRPr="00882421">
        <w:rPr>
          <w:i/>
          <w:highlight w:val="white"/>
        </w:rPr>
        <w:t xml:space="preserve">hat could you do yesterday that you can’t do today?” </w:t>
      </w:r>
      <w:r w:rsidR="00F3130A" w:rsidRPr="00F3130A">
        <w:rPr>
          <w:highlight w:val="white"/>
        </w:rPr>
        <w:t xml:space="preserve"> </w:t>
      </w:r>
    </w:p>
    <w:p w14:paraId="5BE309EF" w14:textId="65380315" w:rsidR="00882421" w:rsidRPr="00882421" w:rsidRDefault="00F3130A" w:rsidP="00882421">
      <w:pPr>
        <w:spacing w:before="120" w:after="120"/>
        <w:ind w:left="714"/>
        <w:rPr>
          <w:i/>
          <w:highlight w:val="white"/>
        </w:rPr>
      </w:pPr>
      <w:r w:rsidRPr="00882421">
        <w:rPr>
          <w:i/>
          <w:highlight w:val="white"/>
        </w:rPr>
        <w:t>“</w:t>
      </w:r>
      <w:r w:rsidR="00D40C28">
        <w:rPr>
          <w:i/>
          <w:highlight w:val="white"/>
        </w:rPr>
        <w:t>W</w:t>
      </w:r>
      <w:bookmarkStart w:id="0" w:name="_GoBack"/>
      <w:bookmarkEnd w:id="0"/>
      <w:r w:rsidRPr="00882421">
        <w:rPr>
          <w:i/>
          <w:highlight w:val="white"/>
        </w:rPr>
        <w:t>hat makes you breathless now that didn’t make you breathless yesterday?”</w:t>
      </w:r>
    </w:p>
    <w:p w14:paraId="0836F0B7" w14:textId="46681E58" w:rsidR="00F3130A" w:rsidRPr="00882421" w:rsidRDefault="00882421" w:rsidP="00882421">
      <w:pPr>
        <w:pStyle w:val="ListParagraph"/>
        <w:numPr>
          <w:ilvl w:val="0"/>
          <w:numId w:val="9"/>
        </w:numPr>
        <w:rPr>
          <w:highlight w:val="white"/>
        </w:rPr>
      </w:pPr>
      <w:r>
        <w:rPr>
          <w:highlight w:val="white"/>
        </w:rPr>
        <w:t xml:space="preserve">Interpret the breathlessness in the </w:t>
      </w:r>
      <w:r w:rsidRPr="00882421">
        <w:rPr>
          <w:b/>
          <w:highlight w:val="white"/>
        </w:rPr>
        <w:t>context of the wider history and physical signs</w:t>
      </w:r>
      <w:r>
        <w:rPr>
          <w:highlight w:val="white"/>
        </w:rPr>
        <w:t>. For example, a</w:t>
      </w:r>
      <w:r w:rsidR="00F3130A" w:rsidRPr="00882421">
        <w:rPr>
          <w:highlight w:val="white"/>
        </w:rPr>
        <w:t xml:space="preserve"> new, audible wheeze and a verbal report of blueness of the lips in a breathless patient </w:t>
      </w:r>
      <w:r>
        <w:rPr>
          <w:highlight w:val="white"/>
        </w:rPr>
        <w:t>are concerning.</w:t>
      </w:r>
    </w:p>
    <w:p w14:paraId="0B3F5A8B" w14:textId="77777777" w:rsidR="00353C42" w:rsidRDefault="00353C42" w:rsidP="00882421">
      <w:pPr>
        <w:rPr>
          <w:highlight w:val="white"/>
        </w:rPr>
      </w:pPr>
    </w:p>
    <w:p w14:paraId="0074BE52" w14:textId="38B4CD93" w:rsidR="00F3130A" w:rsidRPr="00882421" w:rsidRDefault="00882421" w:rsidP="00882421">
      <w:pPr>
        <w:rPr>
          <w:highlight w:val="white"/>
        </w:rPr>
      </w:pPr>
      <w:r>
        <w:rPr>
          <w:highlight w:val="white"/>
        </w:rPr>
        <w:lastRenderedPageBreak/>
        <w:t>The tools and instruments and tools identified were as follows:</w:t>
      </w:r>
    </w:p>
    <w:p w14:paraId="7862C575" w14:textId="294F1CFE" w:rsidR="00F3130A" w:rsidRDefault="00A4474A" w:rsidP="00F3130A">
      <w:pPr>
        <w:pStyle w:val="ListParagraph"/>
        <w:numPr>
          <w:ilvl w:val="0"/>
          <w:numId w:val="3"/>
        </w:numPr>
        <w:rPr>
          <w:highlight w:val="white"/>
        </w:rPr>
      </w:pPr>
      <w:r w:rsidRPr="00871A10">
        <w:rPr>
          <w:b/>
          <w:highlight w:val="white"/>
        </w:rPr>
        <w:t>Roth Score</w:t>
      </w:r>
      <w:r w:rsidR="0011181E">
        <w:rPr>
          <w:b/>
          <w:highlight w:val="white"/>
        </w:rPr>
        <w:t>.</w:t>
      </w:r>
      <w:r w:rsidR="002B3ACE">
        <w:rPr>
          <w:b/>
          <w:highlight w:val="white"/>
        </w:rPr>
        <w:t xml:space="preserve"> </w:t>
      </w:r>
      <w:r w:rsidR="002B3ACE" w:rsidRPr="002B3ACE">
        <w:rPr>
          <w:highlight w:val="white"/>
        </w:rPr>
        <w:t>Easy to use and has been validated</w:t>
      </w:r>
      <w:r w:rsidR="00B352D0">
        <w:rPr>
          <w:highlight w:val="white"/>
        </w:rPr>
        <w:t xml:space="preserve"> </w:t>
      </w:r>
      <w:r w:rsidR="00A04488">
        <w:rPr>
          <w:highlight w:val="white"/>
        </w:rPr>
        <w:t>i</w:t>
      </w:r>
      <w:r w:rsidR="00B352D0">
        <w:rPr>
          <w:highlight w:val="white"/>
        </w:rPr>
        <w:t>n one study</w:t>
      </w:r>
      <w:r w:rsidR="002B3ACE" w:rsidRPr="002B3ACE">
        <w:rPr>
          <w:highlight w:val="white"/>
        </w:rPr>
        <w:t xml:space="preserve"> against pulse oximetry in healthy volunteers and hospital inpatients but has not been validated in primary care. </w:t>
      </w:r>
      <w:r w:rsidR="0011181E" w:rsidRPr="00B93630">
        <w:rPr>
          <w:highlight w:val="white"/>
        </w:rPr>
        <w:t>Ask</w:t>
      </w:r>
      <w:r w:rsidR="00976925" w:rsidRPr="00B93630">
        <w:rPr>
          <w:highlight w:val="white"/>
        </w:rPr>
        <w:t xml:space="preserve"> the</w:t>
      </w:r>
      <w:r w:rsidR="0011181E" w:rsidRPr="00B93630">
        <w:rPr>
          <w:highlight w:val="white"/>
        </w:rPr>
        <w:t xml:space="preserve"> patient to take a deep breath and count </w:t>
      </w:r>
      <w:r w:rsidR="00B352D0">
        <w:rPr>
          <w:highlight w:val="white"/>
        </w:rPr>
        <w:t xml:space="preserve">out loud </w:t>
      </w:r>
      <w:r w:rsidRPr="00B93630">
        <w:rPr>
          <w:highlight w:val="white"/>
        </w:rPr>
        <w:t xml:space="preserve">from 1 to 30 </w:t>
      </w:r>
      <w:r w:rsidR="007B308C">
        <w:rPr>
          <w:highlight w:val="white"/>
        </w:rPr>
        <w:t xml:space="preserve">in </w:t>
      </w:r>
      <w:r w:rsidR="0011181E" w:rsidRPr="00B93630">
        <w:rPr>
          <w:highlight w:val="white"/>
        </w:rPr>
        <w:t>their</w:t>
      </w:r>
      <w:r w:rsidRPr="00B93630">
        <w:rPr>
          <w:highlight w:val="white"/>
        </w:rPr>
        <w:t xml:space="preserve"> native language</w:t>
      </w:r>
      <w:r w:rsidR="0011181E" w:rsidRPr="00B93630">
        <w:rPr>
          <w:highlight w:val="white"/>
        </w:rPr>
        <w:t>.</w:t>
      </w:r>
      <w:r w:rsidR="00E81E87">
        <w:rPr>
          <w:highlight w:val="white"/>
        </w:rPr>
        <w:t xml:space="preserve"> Count the number of seconds before they take another breath. I</w:t>
      </w:r>
      <w:r w:rsidR="007E2925">
        <w:t>f</w:t>
      </w:r>
      <w:r w:rsidR="00B93630">
        <w:t xml:space="preserve"> </w:t>
      </w:r>
      <w:r w:rsidR="00E81E87">
        <w:t xml:space="preserve">the “counting time” is </w:t>
      </w:r>
      <w:r w:rsidR="00B93630">
        <w:t>8 seconds</w:t>
      </w:r>
      <w:r w:rsidR="007E2925">
        <w:t xml:space="preserve"> or less</w:t>
      </w:r>
      <w:r w:rsidR="00B93630">
        <w:t>, this has a s</w:t>
      </w:r>
      <w:r w:rsidR="00B93630" w:rsidRPr="00871A10">
        <w:t>ensitivity</w:t>
      </w:r>
      <w:r w:rsidR="00B93630">
        <w:t xml:space="preserve"> of</w:t>
      </w:r>
      <w:r w:rsidR="00B93630" w:rsidRPr="00871A10">
        <w:t xml:space="preserve"> 78% and specificity </w:t>
      </w:r>
      <w:r w:rsidR="00B93630">
        <w:t xml:space="preserve">of </w:t>
      </w:r>
      <w:r w:rsidR="00B93630" w:rsidRPr="00871A10">
        <w:t>71% for identifying a pulse oximet</w:t>
      </w:r>
      <w:r w:rsidR="00B93630">
        <w:t>er reading</w:t>
      </w:r>
      <w:r w:rsidR="00B93630" w:rsidRPr="00871A10">
        <w:t xml:space="preserve"> </w:t>
      </w:r>
      <w:r w:rsidR="00653E10">
        <w:t xml:space="preserve">of </w:t>
      </w:r>
      <w:r w:rsidR="00B93630" w:rsidRPr="00871A10">
        <w:t>&lt;95%.</w:t>
      </w:r>
      <w:r w:rsidR="00B93630" w:rsidRPr="00B93630">
        <w:rPr>
          <w:highlight w:val="white"/>
        </w:rPr>
        <w:t xml:space="preserve"> If the counting time is </w:t>
      </w:r>
      <w:r w:rsidR="007E2925">
        <w:rPr>
          <w:highlight w:val="white"/>
        </w:rPr>
        <w:t>5</w:t>
      </w:r>
      <w:r w:rsidR="00B93630" w:rsidRPr="00B93630">
        <w:rPr>
          <w:highlight w:val="white"/>
        </w:rPr>
        <w:t xml:space="preserve"> seconds</w:t>
      </w:r>
      <w:r w:rsidR="007E2925">
        <w:rPr>
          <w:highlight w:val="white"/>
        </w:rPr>
        <w:t xml:space="preserve"> or less</w:t>
      </w:r>
      <w:r w:rsidR="00B93630" w:rsidRPr="00B93630">
        <w:rPr>
          <w:highlight w:val="white"/>
        </w:rPr>
        <w:t xml:space="preserve">, </w:t>
      </w:r>
      <w:r w:rsidR="007E2925">
        <w:rPr>
          <w:highlight w:val="white"/>
        </w:rPr>
        <w:t xml:space="preserve">sensitivity </w:t>
      </w:r>
      <w:r w:rsidR="00E81E87">
        <w:rPr>
          <w:highlight w:val="white"/>
        </w:rPr>
        <w:t>is</w:t>
      </w:r>
      <w:r w:rsidR="007E2925">
        <w:rPr>
          <w:highlight w:val="white"/>
        </w:rPr>
        <w:t xml:space="preserve"> 91%.</w:t>
      </w:r>
      <w:r w:rsidR="00882421">
        <w:rPr>
          <w:highlight w:val="white"/>
        </w:rPr>
        <w:t xml:space="preserve">  </w:t>
      </w:r>
      <w:r w:rsidR="00541D14">
        <w:rPr>
          <w:highlight w:val="white"/>
        </w:rPr>
        <w:t>Of 50 experts, only 6 used the score (most had never heard of it). They</w:t>
      </w:r>
      <w:r w:rsidR="00882421">
        <w:rPr>
          <w:highlight w:val="white"/>
        </w:rPr>
        <w:t xml:space="preserve"> </w:t>
      </w:r>
      <w:r w:rsidR="00541D14">
        <w:rPr>
          <w:highlight w:val="white"/>
        </w:rPr>
        <w:t>were concerned that if used indiscriminately and as a substitute for holistic clinical assessment in the COVID crisis, this score could lead to harm by increasing the number of patients called in for physical examination.</w:t>
      </w:r>
    </w:p>
    <w:p w14:paraId="0DB8E798" w14:textId="77777777" w:rsidR="00F3130A" w:rsidRPr="00F3130A" w:rsidRDefault="00F3130A" w:rsidP="00F3130A">
      <w:pPr>
        <w:pStyle w:val="ListParagraph"/>
        <w:rPr>
          <w:highlight w:val="white"/>
        </w:rPr>
      </w:pPr>
    </w:p>
    <w:p w14:paraId="18DA949C" w14:textId="7517F3F8" w:rsidR="006F1C13" w:rsidRPr="00F3130A" w:rsidRDefault="0011181E" w:rsidP="00F3130A">
      <w:pPr>
        <w:pStyle w:val="ListParagraph"/>
        <w:numPr>
          <w:ilvl w:val="0"/>
          <w:numId w:val="3"/>
        </w:numPr>
        <w:rPr>
          <w:highlight w:val="white"/>
        </w:rPr>
      </w:pPr>
      <w:r w:rsidRPr="00F3130A">
        <w:rPr>
          <w:b/>
          <w:highlight w:val="white"/>
        </w:rPr>
        <w:t>Smartphone apps</w:t>
      </w:r>
      <w:r w:rsidR="006F1C13" w:rsidRPr="00F3130A">
        <w:rPr>
          <w:b/>
          <w:highlight w:val="white"/>
        </w:rPr>
        <w:t xml:space="preserve"> for</w:t>
      </w:r>
      <w:r w:rsidR="00A0657A" w:rsidRPr="00F3130A">
        <w:rPr>
          <w:b/>
          <w:highlight w:val="white"/>
        </w:rPr>
        <w:t xml:space="preserve"> oximetry</w:t>
      </w:r>
      <w:r w:rsidRPr="00F3130A">
        <w:rPr>
          <w:highlight w:val="white"/>
        </w:rPr>
        <w:t xml:space="preserve">: Very limited </w:t>
      </w:r>
      <w:r w:rsidR="006F1C13" w:rsidRPr="00F3130A">
        <w:rPr>
          <w:highlight w:val="white"/>
        </w:rPr>
        <w:t xml:space="preserve">published </w:t>
      </w:r>
      <w:r w:rsidRPr="00F3130A">
        <w:rPr>
          <w:highlight w:val="white"/>
        </w:rPr>
        <w:t xml:space="preserve">research, </w:t>
      </w:r>
      <w:r w:rsidR="006F1C13" w:rsidRPr="00F3130A">
        <w:rPr>
          <w:highlight w:val="white"/>
        </w:rPr>
        <w:t>but one small, single-centre study</w:t>
      </w:r>
      <w:r w:rsidRPr="00F3130A">
        <w:rPr>
          <w:highlight w:val="white"/>
        </w:rPr>
        <w:t xml:space="preserve"> </w:t>
      </w:r>
      <w:r w:rsidR="006F1C13" w:rsidRPr="00F3130A">
        <w:rPr>
          <w:highlight w:val="white"/>
        </w:rPr>
        <w:t>in hospitalised patients report</w:t>
      </w:r>
      <w:r w:rsidR="00E81E87" w:rsidRPr="00F3130A">
        <w:rPr>
          <w:highlight w:val="white"/>
        </w:rPr>
        <w:t>ed</w:t>
      </w:r>
      <w:r w:rsidR="006F1C13" w:rsidRPr="00F3130A">
        <w:rPr>
          <w:highlight w:val="white"/>
        </w:rPr>
        <w:t xml:space="preserve"> high (&gt;98%) correlation between the smartphone reading and the reference device. </w:t>
      </w:r>
      <w:r w:rsidR="00E81E87" w:rsidRPr="00F3130A">
        <w:rPr>
          <w:highlight w:val="white"/>
        </w:rPr>
        <w:t>There are many devices and apps;</w:t>
      </w:r>
      <w:r w:rsidR="00712937" w:rsidRPr="00F3130A">
        <w:rPr>
          <w:highlight w:val="white"/>
        </w:rPr>
        <w:t xml:space="preserve"> </w:t>
      </w:r>
      <w:r w:rsidR="00E81E87" w:rsidRPr="00F3130A">
        <w:rPr>
          <w:highlight w:val="white"/>
        </w:rPr>
        <w:t>use readings cautiously in the context of a wider clinical assessment</w:t>
      </w:r>
      <w:r w:rsidR="00F3130A">
        <w:rPr>
          <w:highlight w:val="white"/>
        </w:rPr>
        <w:t>.</w:t>
      </w:r>
    </w:p>
    <w:p w14:paraId="593288D2" w14:textId="77777777" w:rsidR="00F3130A" w:rsidRPr="00F3130A" w:rsidRDefault="00F3130A" w:rsidP="00F3130A">
      <w:pPr>
        <w:pStyle w:val="ListParagraph"/>
        <w:rPr>
          <w:highlight w:val="white"/>
        </w:rPr>
      </w:pPr>
    </w:p>
    <w:p w14:paraId="392BC771" w14:textId="2B6337D2" w:rsidR="00501558" w:rsidRPr="00541D14" w:rsidRDefault="006F1C13" w:rsidP="00541D14">
      <w:pPr>
        <w:pStyle w:val="ListParagraph"/>
        <w:numPr>
          <w:ilvl w:val="0"/>
          <w:numId w:val="3"/>
        </w:numPr>
        <w:rPr>
          <w:highlight w:val="white"/>
        </w:rPr>
      </w:pPr>
      <w:r w:rsidRPr="006F1C13">
        <w:rPr>
          <w:b/>
          <w:highlight w:val="white"/>
        </w:rPr>
        <w:t>Oximetry devices supplied to patients</w:t>
      </w:r>
      <w:r>
        <w:rPr>
          <w:highlight w:val="white"/>
        </w:rPr>
        <w:t>. Commonly used in respiratory medicine clinics but have not yet been evaluated in a primary care setting.</w:t>
      </w:r>
      <w:r w:rsidR="00E81E87">
        <w:rPr>
          <w:highlight w:val="white"/>
        </w:rPr>
        <w:t xml:space="preserve"> </w:t>
      </w:r>
      <w:r>
        <w:rPr>
          <w:highlight w:val="white"/>
        </w:rPr>
        <w:t xml:space="preserve"> </w:t>
      </w:r>
    </w:p>
    <w:p w14:paraId="25126A5E" w14:textId="77777777" w:rsidR="00541D14" w:rsidRDefault="00541D14" w:rsidP="006F1C13">
      <w:pPr>
        <w:pBdr>
          <w:bottom w:val="single" w:sz="6" w:space="1" w:color="auto"/>
        </w:pBdr>
        <w:rPr>
          <w:highlight w:val="white"/>
        </w:rPr>
      </w:pPr>
    </w:p>
    <w:p w14:paraId="5F9643EB" w14:textId="753C6C93" w:rsidR="00501558" w:rsidRDefault="00541D14" w:rsidP="006F1C13">
      <w:pPr>
        <w:pBdr>
          <w:bottom w:val="single" w:sz="6" w:space="1" w:color="auto"/>
        </w:pBdr>
        <w:rPr>
          <w:highlight w:val="white"/>
        </w:rPr>
      </w:pPr>
      <w:r>
        <w:rPr>
          <w:highlight w:val="white"/>
        </w:rPr>
        <w:t>Searches and critical appraisal undertaken</w:t>
      </w:r>
      <w:r w:rsidR="00501558">
        <w:rPr>
          <w:highlight w:val="white"/>
        </w:rPr>
        <w:t xml:space="preserve"> by Dr </w:t>
      </w:r>
      <w:proofErr w:type="spellStart"/>
      <w:r w:rsidR="00501558">
        <w:rPr>
          <w:highlight w:val="white"/>
        </w:rPr>
        <w:t>Koot</w:t>
      </w:r>
      <w:proofErr w:type="spellEnd"/>
      <w:r w:rsidR="00501558">
        <w:rPr>
          <w:highlight w:val="white"/>
        </w:rPr>
        <w:t xml:space="preserve"> </w:t>
      </w:r>
      <w:proofErr w:type="spellStart"/>
      <w:r w:rsidR="00501558">
        <w:rPr>
          <w:highlight w:val="white"/>
        </w:rPr>
        <w:t>Kotze</w:t>
      </w:r>
      <w:proofErr w:type="spellEnd"/>
      <w:r w:rsidR="00501558">
        <w:rPr>
          <w:highlight w:val="white"/>
        </w:rPr>
        <w:t xml:space="preserve"> and Dr </w:t>
      </w:r>
      <w:r w:rsidR="00501558" w:rsidRPr="00501558">
        <w:t>Helene-Mari Van Der Westhuizen</w:t>
      </w:r>
      <w:r>
        <w:t>, and expert survey by Professor Trisha Greenhalgh</w:t>
      </w:r>
      <w:r w:rsidR="00501558" w:rsidRPr="00501558">
        <w:t xml:space="preserve"> </w:t>
      </w:r>
      <w:r w:rsidR="00501558">
        <w:t>from University of Oxford</w:t>
      </w:r>
    </w:p>
    <w:p w14:paraId="0F3FE066" w14:textId="77777777" w:rsidR="00501558" w:rsidRDefault="00501558" w:rsidP="006F1C13">
      <w:pPr>
        <w:pBdr>
          <w:bottom w:val="single" w:sz="6" w:space="1" w:color="auto"/>
        </w:pBdr>
        <w:rPr>
          <w:highlight w:val="white"/>
        </w:rPr>
      </w:pPr>
    </w:p>
    <w:p w14:paraId="158E4436" w14:textId="77777777" w:rsidR="00501558" w:rsidRPr="006F1C13" w:rsidRDefault="00501558" w:rsidP="006F1C13">
      <w:pPr>
        <w:rPr>
          <w:highlight w:val="white"/>
        </w:rPr>
      </w:pPr>
    </w:p>
    <w:p w14:paraId="14C48837" w14:textId="77777777" w:rsidR="0045061D" w:rsidRDefault="0045061D" w:rsidP="00210D95">
      <w:pPr>
        <w:pStyle w:val="Heading2"/>
        <w:rPr>
          <w:sz w:val="22"/>
          <w:szCs w:val="22"/>
          <w:highlight w:val="white"/>
        </w:rPr>
      </w:pPr>
    </w:p>
    <w:p w14:paraId="0B06B8DC" w14:textId="5B7897FD" w:rsidR="00501558" w:rsidRPr="00501558" w:rsidRDefault="00501558" w:rsidP="00501558">
      <w:pPr>
        <w:rPr>
          <w:highlight w:val="white"/>
        </w:rPr>
        <w:sectPr w:rsidR="00501558" w:rsidRPr="00501558" w:rsidSect="00353C42">
          <w:footerReference w:type="even" r:id="rId8"/>
          <w:footerReference w:type="default" r:id="rId9"/>
          <w:pgSz w:w="11900" w:h="16840"/>
          <w:pgMar w:top="1440" w:right="1440" w:bottom="1440" w:left="1440" w:header="720" w:footer="720" w:gutter="0"/>
          <w:pgNumType w:start="1"/>
          <w:cols w:space="720"/>
          <w:docGrid w:linePitch="299"/>
        </w:sectPr>
      </w:pPr>
    </w:p>
    <w:p w14:paraId="3428FCA8" w14:textId="34F3E0E0" w:rsidR="00210D95" w:rsidRDefault="00A4474A" w:rsidP="00210D95">
      <w:pPr>
        <w:pStyle w:val="Heading2"/>
        <w:rPr>
          <w:highlight w:val="white"/>
        </w:rPr>
      </w:pPr>
      <w:r>
        <w:rPr>
          <w:highlight w:val="white"/>
        </w:rPr>
        <w:lastRenderedPageBreak/>
        <w:t>Background</w:t>
      </w:r>
    </w:p>
    <w:p w14:paraId="23718DED" w14:textId="3C71F750" w:rsidR="00C110BA" w:rsidRPr="00F07E96" w:rsidRDefault="00210D95" w:rsidP="002336FB">
      <w:pPr>
        <w:rPr>
          <w:rFonts w:eastAsia="Calibri"/>
          <w:color w:val="000000" w:themeColor="text1"/>
          <w:highlight w:val="white"/>
        </w:rPr>
      </w:pPr>
      <w:r w:rsidRPr="00F07E96">
        <w:rPr>
          <w:rFonts w:eastAsia="Calibri"/>
          <w:color w:val="000000" w:themeColor="text1"/>
          <w:highlight w:val="white"/>
        </w:rPr>
        <w:t>There is an increased interest in telemedicine solutions in order to meet the challenges posed by the Covid19 pandemic.</w:t>
      </w:r>
      <w:r w:rsidRPr="00F07E96">
        <w:rPr>
          <w:rFonts w:eastAsia="Calibri"/>
          <w:color w:val="000000" w:themeColor="text1"/>
          <w:highlight w:val="white"/>
        </w:rPr>
        <w:fldChar w:fldCharType="begin" w:fldLock="1"/>
      </w:r>
      <w:r w:rsidR="00997AC1" w:rsidRPr="00F07E96">
        <w:rPr>
          <w:rFonts w:eastAsia="Calibri"/>
          <w:color w:val="000000" w:themeColor="text1"/>
          <w:highlight w:val="white"/>
        </w:rPr>
        <w:instrText>ADDIN CSL_CITATION {"citationItems":[{"id":"ITEM-1","itemData":{"DOI":"10.1136/bmj.m998","ISBN":"1291101705","author":[{"dropping-particle":"","family":"Greenhalgh","given":"Trisha","non-dropping-particle":"","parse-names":false,"suffix":""},{"dropping-particle":"","family":"Wherton","given":"Joe","non-dropping-particle":"","parse-names":false,"suffix":""},{"dropping-particle":"","family":"Shaw","given":"Sara","non-dropping-particle":"","parse-names":false,"suffix":""}],"id":"ITEM-1","issue":"March","issued":{"date-parts":[["2020"]]},"page":"1-2","title":"Video consultations for covid-19","type":"article-journal","volume":"998"},"uris":["http://www.mendeley.com/documents/?uuid=4b29a3c1-da87-4867-9531-6881fb2d44b1"]},{"id":"ITEM-2","itemData":{"DOI":"10.1056/NEJMp2003539","ISSN":"0028-4793","author":[{"dropping-particle":"","family":"Hollander","given":"Judd E.","non-dropping-particle":"","parse-names":false,"suffix":""},{"dropping-particle":"","family":"Carr","given":"Brendan G.","non-dropping-particle":"","parse-names":false,"suffix":""}],"container-title":"New England Journal of Medicine","id":"ITEM-2","issued":{"date-parts":[["2020","3","11"]]},"page":"NEJMp2003539","title":"Virtually Perfect? Telemedicine for Covid-19","type":"article-journal"},"uris":["http://www.mendeley.com/documents/?uuid=b9c88572-d1ea-46cf-bbb4-52262039dbea"]}],"mendeley":{"formattedCitation":"&lt;sup&gt;1,2&lt;/sup&gt;","plainTextFormattedCitation":"1,2","previouslyFormattedCitation":"&lt;sup&gt;1,2&lt;/sup&gt;"},"properties":{"noteIndex":0},"schema":"https://github.com/citation-style-language/schema/raw/master/csl-citation.json"}</w:instrText>
      </w:r>
      <w:r w:rsidRPr="00F07E96">
        <w:rPr>
          <w:rFonts w:eastAsia="Calibri"/>
          <w:color w:val="000000" w:themeColor="text1"/>
          <w:highlight w:val="white"/>
        </w:rPr>
        <w:fldChar w:fldCharType="separate"/>
      </w:r>
      <w:r w:rsidR="00997AC1" w:rsidRPr="00F07E96">
        <w:rPr>
          <w:rFonts w:eastAsia="Calibri"/>
          <w:noProof/>
          <w:color w:val="000000" w:themeColor="text1"/>
          <w:highlight w:val="white"/>
          <w:vertAlign w:val="superscript"/>
        </w:rPr>
        <w:t>1,2</w:t>
      </w:r>
      <w:r w:rsidRPr="00F07E96">
        <w:rPr>
          <w:rFonts w:eastAsia="Calibri"/>
          <w:color w:val="000000" w:themeColor="text1"/>
          <w:highlight w:val="white"/>
        </w:rPr>
        <w:fldChar w:fldCharType="end"/>
      </w:r>
      <w:r w:rsidRPr="00F07E96">
        <w:rPr>
          <w:rFonts w:eastAsia="Calibri"/>
          <w:color w:val="000000" w:themeColor="text1"/>
          <w:highlight w:val="white"/>
        </w:rPr>
        <w:t xml:space="preserve"> A potential </w:t>
      </w:r>
      <w:r w:rsidR="00A4474A">
        <w:rPr>
          <w:rFonts w:eastAsia="Calibri"/>
          <w:color w:val="000000" w:themeColor="text1"/>
          <w:highlight w:val="white"/>
        </w:rPr>
        <w:t>limitation of</w:t>
      </w:r>
      <w:r w:rsidRPr="00F07E96">
        <w:rPr>
          <w:rFonts w:eastAsia="Calibri"/>
          <w:color w:val="000000" w:themeColor="text1"/>
          <w:highlight w:val="white"/>
        </w:rPr>
        <w:t xml:space="preserve"> this is the accurate assessment and </w:t>
      </w:r>
      <w:r w:rsidR="00101314" w:rsidRPr="00F07E96">
        <w:rPr>
          <w:rFonts w:eastAsia="Calibri"/>
          <w:color w:val="000000" w:themeColor="text1"/>
          <w:highlight w:val="white"/>
        </w:rPr>
        <w:t xml:space="preserve">risk stratification </w:t>
      </w:r>
      <w:r w:rsidRPr="00F07E96">
        <w:rPr>
          <w:rFonts w:eastAsia="Calibri"/>
          <w:color w:val="000000" w:themeColor="text1"/>
          <w:highlight w:val="white"/>
        </w:rPr>
        <w:t>of patients.</w:t>
      </w:r>
      <w:r w:rsidR="00A4474A">
        <w:rPr>
          <w:rFonts w:eastAsia="Calibri"/>
          <w:color w:val="000000" w:themeColor="text1"/>
          <w:highlight w:val="white"/>
        </w:rPr>
        <w:t xml:space="preserve"> A key symptom and physical sign in patients with COVID </w:t>
      </w:r>
      <w:proofErr w:type="gramStart"/>
      <w:r w:rsidR="00A4474A">
        <w:rPr>
          <w:rFonts w:eastAsia="Calibri"/>
          <w:color w:val="000000" w:themeColor="text1"/>
          <w:highlight w:val="white"/>
        </w:rPr>
        <w:t>is</w:t>
      </w:r>
      <w:proofErr w:type="gramEnd"/>
      <w:r w:rsidR="00A4474A">
        <w:rPr>
          <w:rFonts w:eastAsia="Calibri"/>
          <w:color w:val="000000" w:themeColor="text1"/>
          <w:highlight w:val="white"/>
        </w:rPr>
        <w:t xml:space="preserve"> dyspnoea (breathlessness), which may indicate low blood oxygen levels. Can dyspnoea be accurately assessed remotely? </w:t>
      </w:r>
    </w:p>
    <w:p w14:paraId="565E8F38" w14:textId="77777777" w:rsidR="00210D95" w:rsidRDefault="00567A02" w:rsidP="00210D95">
      <w:pPr>
        <w:rPr>
          <w:highlight w:val="white"/>
        </w:rPr>
      </w:pPr>
      <w:r>
        <w:rPr>
          <w:highlight w:val="white"/>
        </w:rPr>
        <w:t xml:space="preserve">Dyspnoea is defined as </w:t>
      </w:r>
      <w:r w:rsidRPr="00567A02">
        <w:t>“a subjective experience of breathing discomfort that consists of qualitatively distinct sensations that vary in intensity”</w:t>
      </w:r>
      <w:r>
        <w:fldChar w:fldCharType="begin" w:fldLock="1"/>
      </w:r>
      <w:r w:rsidR="00997AC1">
        <w:instrText>ADDIN CSL_CITATION {"citationItems":[{"id":"ITEM-1","itemData":{"author":[{"dropping-particle":"","family":"Society","given":"American Thoracic","non-dropping-particle":"","parse-names":false,"suffix":""}],"container-title":"Am. J. Respir. Crit. Care Med.","id":"ITEM-1","issued":{"date-parts":[["1999"]]},"page":"321-340","title":"Dyspnea: mechanisms, assessment, and management: a consensus statement","type":"article-journal","volume":"159"},"uris":["http://www.mendeley.com/documents/?uuid=73225ec3-91e7-4f56-a0cc-6631a522347a"]}],"mendeley":{"formattedCitation":"&lt;sup&gt;3&lt;/sup&gt;","plainTextFormattedCitation":"3","previouslyFormattedCitation":"&lt;sup&gt;3&lt;/sup&gt;"},"properties":{"noteIndex":0},"schema":"https://github.com/citation-style-language/schema/raw/master/csl-citation.json"}</w:instrText>
      </w:r>
      <w:r>
        <w:fldChar w:fldCharType="separate"/>
      </w:r>
      <w:r w:rsidR="00997AC1" w:rsidRPr="00997AC1">
        <w:rPr>
          <w:noProof/>
          <w:vertAlign w:val="superscript"/>
        </w:rPr>
        <w:t>3</w:t>
      </w:r>
      <w:r>
        <w:fldChar w:fldCharType="end"/>
      </w:r>
      <w:r w:rsidR="009320C4">
        <w:t>.</w:t>
      </w:r>
      <w:r w:rsidR="009F4AD2">
        <w:t>Our</w:t>
      </w:r>
      <w:r>
        <w:t xml:space="preserve"> search</w:t>
      </w:r>
      <w:r w:rsidR="009F4AD2">
        <w:t xml:space="preserve"> therefore</w:t>
      </w:r>
      <w:r>
        <w:t xml:space="preserve"> focused on </w:t>
      </w:r>
      <w:r w:rsidR="009F4AD2">
        <w:t>approaches</w:t>
      </w:r>
      <w:r w:rsidR="009320C4">
        <w:t xml:space="preserve"> that</w:t>
      </w:r>
      <w:r>
        <w:t xml:space="preserve"> </w:t>
      </w:r>
      <w:r w:rsidR="009F4AD2">
        <w:t>might</w:t>
      </w:r>
      <w:r>
        <w:t xml:space="preserve"> allow objective quantification of dyspnoea as measured against either pulse oximetry</w:t>
      </w:r>
      <w:r w:rsidR="009F4AD2">
        <w:t xml:space="preserve">, </w:t>
      </w:r>
      <w:r>
        <w:t>arterial blood gas measurement</w:t>
      </w:r>
      <w:r w:rsidR="009F4AD2">
        <w:t>, or a</w:t>
      </w:r>
      <w:r w:rsidR="00423CF6">
        <w:t>nother</w:t>
      </w:r>
      <w:r w:rsidR="009F4AD2">
        <w:t xml:space="preserve"> reliable </w:t>
      </w:r>
      <w:r w:rsidR="00423CF6">
        <w:t>indicator of severity</w:t>
      </w:r>
      <w:r w:rsidR="009F4AD2">
        <w:t>.</w:t>
      </w:r>
    </w:p>
    <w:p w14:paraId="04A9342F" w14:textId="14E475E8" w:rsidR="00210D95" w:rsidRDefault="009320C4" w:rsidP="00210D95">
      <w:pPr>
        <w:rPr>
          <w:highlight w:val="white"/>
        </w:rPr>
      </w:pPr>
      <w:r>
        <w:rPr>
          <w:highlight w:val="white"/>
        </w:rPr>
        <w:t>Existing</w:t>
      </w:r>
      <w:r w:rsidR="009F4AD2">
        <w:rPr>
          <w:highlight w:val="white"/>
        </w:rPr>
        <w:t xml:space="preserve"> dyspnoea symptom-based scores (see table 3), such as the MRC Scale</w:t>
      </w:r>
      <w:r w:rsidR="005406F5">
        <w:rPr>
          <w:highlight w:val="white"/>
        </w:rPr>
        <w:t>,</w:t>
      </w:r>
      <w:r w:rsidR="009F4AD2">
        <w:rPr>
          <w:highlight w:val="white"/>
        </w:rPr>
        <w:t xml:space="preserve"> are designed and validated for </w:t>
      </w:r>
      <w:r w:rsidR="00541D14">
        <w:rPr>
          <w:highlight w:val="white"/>
        </w:rPr>
        <w:t xml:space="preserve">use in monitoring </w:t>
      </w:r>
      <w:r w:rsidR="009F4AD2">
        <w:rPr>
          <w:highlight w:val="white"/>
        </w:rPr>
        <w:t xml:space="preserve">chronic diseases (such as COPD) </w:t>
      </w:r>
      <w:r w:rsidR="00F07E96">
        <w:rPr>
          <w:highlight w:val="white"/>
        </w:rPr>
        <w:t>with the exc</w:t>
      </w:r>
      <w:r w:rsidR="00CC5D95">
        <w:rPr>
          <w:highlight w:val="white"/>
        </w:rPr>
        <w:t>e</w:t>
      </w:r>
      <w:r w:rsidR="00F07E96">
        <w:rPr>
          <w:highlight w:val="white"/>
        </w:rPr>
        <w:t xml:space="preserve">ption of the vertical </w:t>
      </w:r>
      <w:r w:rsidR="00645479">
        <w:rPr>
          <w:highlight w:val="white"/>
        </w:rPr>
        <w:t xml:space="preserve">visual </w:t>
      </w:r>
      <w:r w:rsidR="00F07E96">
        <w:rPr>
          <w:highlight w:val="white"/>
        </w:rPr>
        <w:t xml:space="preserve">analogue scale that has been validated for treatment response in acute asthma attacks. </w:t>
      </w:r>
      <w:r w:rsidR="00645479" w:rsidRPr="00F07E96">
        <w:rPr>
          <w:highlight w:val="white"/>
        </w:rPr>
        <w:t>However, none of the scales have been validated for use in a setting such as telephon</w:t>
      </w:r>
      <w:r w:rsidR="00E81E87">
        <w:rPr>
          <w:highlight w:val="white"/>
        </w:rPr>
        <w:t>e</w:t>
      </w:r>
      <w:r w:rsidR="00645479" w:rsidRPr="00F07E96">
        <w:rPr>
          <w:highlight w:val="white"/>
        </w:rPr>
        <w:t xml:space="preserve"> or video consultations in primary care.</w:t>
      </w:r>
      <w:r w:rsidR="00541D14">
        <w:rPr>
          <w:highlight w:val="white"/>
        </w:rPr>
        <w:t xml:space="preserve"> </w:t>
      </w:r>
    </w:p>
    <w:p w14:paraId="0F4682CB" w14:textId="138EF27A" w:rsidR="00645479" w:rsidRDefault="00645479" w:rsidP="00210D95">
      <w:pPr>
        <w:rPr>
          <w:highlight w:val="white"/>
        </w:rPr>
      </w:pPr>
      <w:r>
        <w:rPr>
          <w:highlight w:val="white"/>
        </w:rPr>
        <w:t>Scoring systems to quantify respiratory distress in children, especially in bronchiolitis and asthma exacerbations, are widely used, although there are concerns about the validity and reliability of these scores.</w:t>
      </w:r>
      <w:r>
        <w:rPr>
          <w:highlight w:val="white"/>
        </w:rPr>
        <w:fldChar w:fldCharType="begin" w:fldLock="1"/>
      </w:r>
      <w:r w:rsidR="0026106C">
        <w:rPr>
          <w:highlight w:val="white"/>
        </w:rPr>
        <w:instrText>ADDIN CSL_CITATION {"citationItems":[{"id":"ITEM-1","itemData":{"DOI":"10.1016/j.prrv.2013.08.004","ISSN":"1526-0542","author":[{"dropping-particle":"","family":"Bekhof","given":"Jolita","non-dropping-particle":"","parse-names":false,"suffix":""},{"dropping-particle":"","family":"Reimink","given":"Roelien","non-dropping-particle":"","parse-names":false,"suffix":""},{"dropping-particle":"","family":"Brand","given":"Paul L P","non-dropping-particle":"","parse-names":false,"suffix":""}],"container-title":"Paediatric Respiratory Reviews","id":"ITEM-1","issue":"1","issued":{"date-parts":[["2014"]]},"page":"98-112","publisher":"Elsevier Ltd","title":"Systematic review : Insufficient validation of clinical scores for the assessment of acute dyspnoea in wheezing children","type":"article-journal","volume":"15"},"uris":["http://www.mendeley.com/documents/?uuid=ccc3d2bd-03ac-416e-9134-bbd0a5bb365c"]},{"id":"ITEM-2","itemData":{"DOI":"10.1371/journal.pone.0157724","author":[{"dropping-particle":"","family":"Eggink","given":"Hendriekje","non-dropping-particle":"","parse-names":false,"suffix":""},{"dropping-particle":"","family":"Brand","given":"Paul","non-dropping-particle":"","parse-names":false,"suffix":""},{"dropping-particle":"","family":"Reimink","given":"Roelien","non-dropping-particle":"","parse-names":false,"suffix":""},{"dropping-particle":"","family":"Bekhof","given":"Jolita","non-dropping-particle":"","parse-names":false,"suffix":""}],"id":"ITEM-2","issued":{"date-parts":[["2016"]]},"page":"1-11","title":"Clinical Scores for Dyspnoea Severity in Children : A Prospective Validation Study","type":"article-journal"},"uris":["http://www.mendeley.com/documents/?uuid=aa92c95c-8ecb-4c5c-b862-419e6bf8c463"]}],"mendeley":{"formattedCitation":"&lt;sup&gt;4,5&lt;/sup&gt;","plainTextFormattedCitation":"4,5","previouslyFormattedCitation":"&lt;sup&gt;4,5&lt;/sup&gt;"},"properties":{"noteIndex":0},"schema":"https://github.com/citation-style-language/schema/raw/master/csl-citation.json"}</w:instrText>
      </w:r>
      <w:r>
        <w:rPr>
          <w:highlight w:val="white"/>
        </w:rPr>
        <w:fldChar w:fldCharType="separate"/>
      </w:r>
      <w:r w:rsidR="0026106C" w:rsidRPr="0026106C">
        <w:rPr>
          <w:noProof/>
          <w:highlight w:val="white"/>
          <w:vertAlign w:val="superscript"/>
        </w:rPr>
        <w:t>4,5</w:t>
      </w:r>
      <w:r>
        <w:rPr>
          <w:highlight w:val="white"/>
        </w:rPr>
        <w:fldChar w:fldCharType="end"/>
      </w:r>
      <w:r>
        <w:rPr>
          <w:highlight w:val="white"/>
        </w:rPr>
        <w:t xml:space="preserve"> One such score (the Respiratory Clinical Score) has been shown to be nearly as accurate through telemedicine as in face-to-face consultation, </w:t>
      </w:r>
      <w:r w:rsidR="00541D14">
        <w:rPr>
          <w:highlight w:val="white"/>
        </w:rPr>
        <w:t>but it</w:t>
      </w:r>
      <w:r>
        <w:rPr>
          <w:highlight w:val="white"/>
        </w:rPr>
        <w:t xml:space="preserve"> requires a digital stethoscope or microphone for auscultation and was therefore not included in this review.</w:t>
      </w:r>
      <w:r w:rsidR="00541D14">
        <w:rPr>
          <w:highlight w:val="white"/>
        </w:rPr>
        <w:t xml:space="preserve"> </w:t>
      </w:r>
    </w:p>
    <w:p w14:paraId="5A564A24" w14:textId="01EF1DD1" w:rsidR="00267C5E" w:rsidRDefault="009F4AD2" w:rsidP="00210D95">
      <w:pPr>
        <w:rPr>
          <w:highlight w:val="white"/>
        </w:rPr>
      </w:pPr>
      <w:r>
        <w:rPr>
          <w:highlight w:val="white"/>
        </w:rPr>
        <w:t>Options for assess</w:t>
      </w:r>
      <w:r w:rsidR="00541D14">
        <w:rPr>
          <w:highlight w:val="white"/>
        </w:rPr>
        <w:t>ing</w:t>
      </w:r>
      <w:r>
        <w:rPr>
          <w:highlight w:val="white"/>
        </w:rPr>
        <w:t xml:space="preserve"> </w:t>
      </w:r>
      <w:r w:rsidR="00541D14">
        <w:rPr>
          <w:highlight w:val="white"/>
        </w:rPr>
        <w:t>breathlessness</w:t>
      </w:r>
      <w:r>
        <w:rPr>
          <w:highlight w:val="white"/>
        </w:rPr>
        <w:t xml:space="preserve"> remotely include the Roth Score,</w:t>
      </w:r>
      <w:r>
        <w:rPr>
          <w:highlight w:val="white"/>
        </w:rPr>
        <w:fldChar w:fldCharType="begin" w:fldLock="1"/>
      </w:r>
      <w:r w:rsidR="0026106C">
        <w:rPr>
          <w:highlight w:val="white"/>
        </w:rPr>
        <w:instrText>ADDIN CSL_CITATION {"citationItems":[{"id":"ITEM-1","itemData":{"DOI":"10.1002/clc.22586","ISSN":"1932-8737 (Electronic)","PMID":"27701750","abstract":"INTRODUCTION: Health care demand is increasing due to greater longevity of patients with chronic comorbidities. This increasing demand is occurring in a setting of resource scarcity. To address these changes, high-value care initiatives, such as telemedicine, are valuable resource-preservation strategies. This study introduces the Roth score as a telemedicine tool that uses patient counting times to accurately risk-stratify dyspnea severity in terms of hypoxia. HYPOTHESIS: The Roth score has correlation with dyspnea severity. METHODS: This is a prospective, controlled-cohort study. Roth score index is measured by having the patient count from 1 to 30 in their native language, in a single breath, as rapidly as possible. The primary result of the Roth score is the duration of time and the highest number reached. RESULTS: There was a strongly positive correlation between pulse oximetry and both maximal count achieved in 1 breath (r = 0.67; P &lt; 0.001) and counting time (r = 0.59; P &lt; 0.001). For oxygen saturation &lt;95%, the maximal count number area under the curve is 0.828 and counting time area under the curve is 0.764. Counting time &gt;8 seconds had a sensitivity of 78% and specificity of 73% for pulse oximetry &lt;95%. CONCLUSIONS: The Roth score has strong correlation with dyspnea severity as determined by hypoxia. This tool is reproducible, low resource-utilization, and amenable to telemedicine. It is not intended to replace full clinical workup and diagnosis of respiratory distress, but it is useful in risk-stratifying severity of dyspnea that warrants further clinical evaluation.","author":[{"dropping-particle":"","family":"Chorin","given":"Ehud","non-dropping-particle":"","parse-names":false,"suffix":""},{"dropping-particle":"","family":"Padegimas","given":"Allison","non-dropping-particle":"","parse-names":false,"suffix":""},{"dropping-particle":"","family":"Havakuk","given":"Ofer","non-dropping-particle":"","parse-names":false,"suffix":""},{"dropping-particle":"","family":"Birati","given":"Edo Y","non-dropping-particle":"","parse-names":false,"suffix":""},{"dropping-particle":"","family":"Shacham","given":"Yacov","non-dropping-particle":"","parse-names":false,"suffix":""},{"dropping-particle":"","family":"Milman","given":"Anat","non-dropping-particle":"","parse-names":false,"suffix":""},{"dropping-particle":"","family":"Topaz","given":"Guy","non-dropping-particle":"","parse-names":false,"suffix":""},{"dropping-particle":"","family":"Flint","given":"Nir","non-dropping-particle":"","parse-names":false,"suffix":""},{"dropping-particle":"","family":"Keren","given":"Gad","non-dropping-particle":"","parse-names":false,"suffix":""},{"dropping-particle":"","family":"Rogowski","given":"Ori","non-dropping-particle":"","parse-names":false,"suffix":""}],"container-title":"Clinical cardiology","id":"ITEM-1","issue":"11","issued":{"date-parts":[["2016","11"]]},"language":"eng","page":"636-639","publisher-place":"United States","title":"Assessment of Respiratory Distress by the Roth Score.","type":"article-journal","volume":"39"},"uris":["http://www.mendeley.com/documents/?uuid=9d2b4aa1-a11d-451e-8b83-69bef76e718e"]}],"mendeley":{"formattedCitation":"&lt;sup&gt;6&lt;/sup&gt;","plainTextFormattedCitation":"6","previouslyFormattedCitation":"&lt;sup&gt;6&lt;/sup&gt;"},"properties":{"noteIndex":0},"schema":"https://github.com/citation-style-language/schema/raw/master/csl-citation.json"}</w:instrText>
      </w:r>
      <w:r>
        <w:rPr>
          <w:highlight w:val="white"/>
        </w:rPr>
        <w:fldChar w:fldCharType="separate"/>
      </w:r>
      <w:r w:rsidR="0026106C" w:rsidRPr="0026106C">
        <w:rPr>
          <w:noProof/>
          <w:highlight w:val="white"/>
          <w:vertAlign w:val="superscript"/>
        </w:rPr>
        <w:t>6</w:t>
      </w:r>
      <w:r>
        <w:rPr>
          <w:highlight w:val="white"/>
        </w:rPr>
        <w:fldChar w:fldCharType="end"/>
      </w:r>
      <w:r>
        <w:rPr>
          <w:highlight w:val="white"/>
        </w:rPr>
        <w:t xml:space="preserve"> smartphone based oximetry devices</w:t>
      </w:r>
      <w:r w:rsidR="00423CF6">
        <w:rPr>
          <w:highlight w:val="white"/>
        </w:rPr>
        <w:t>,</w:t>
      </w:r>
      <w:r>
        <w:rPr>
          <w:highlight w:val="white"/>
        </w:rPr>
        <w:fldChar w:fldCharType="begin" w:fldLock="1"/>
      </w:r>
      <w:r w:rsidR="0026106C">
        <w:rPr>
          <w:highlight w:val="white"/>
        </w:rPr>
        <w:instrText>ADDIN CSL_CITATION {"citationItems":[{"id":"ITEM-1","itemData":{"DOI":"10.1089/tmj.2017.0166","ISSN":"1556-3669 (Electronic)","PMID":"29215972","abstract":"BACKGROUND: Pulse oximetry, a ubiquitous, noninvasive method to monitor oxygen saturation (SpO2), requires larger, nonportable equipment. Smartphone pulse oximeter applications (apps) provide a portable, cost-effective option, but are untested in children. We hypothesize that smartphone pulse oximetry will not be inferior to standard pulse oximetry measured in healthy children. MATERIALS AND METHODS: Two main types of pulse oximetry apps, a camera-based app (CBA) that uses a phone camera flash and lens and a probe-based app (PBA) that uses an external plug-in probe, were compared with standard pulse oximetry measured in children ages 2-13 years without a respiratory complaint and a triage SpO2 &gt;/=97% seen in a pediatric Emergency Department. Two investigators obtained heart rate and SpO2 using each app. Inter-rater reliability was tested using interclass correlations (ICCs), and Bland-Altman method was used to compare app values to triage measurements. RESULTS: Eighty-one patients were enrolled. ICC for SpO2 for PBA and CBA were 0.73 and -0.24, respectively. The 95% limits of agreement between the PBA SpO2 and triage SpO2 were -2.8 to +2.5 compared with -4.1 to +3.5 for the CBA SpO2 and triage SpO2. Mean differences between triage SpO2 and the PBA SpO2 (-0.17%) and triage SpO2 and CBA SpO2 (-0.33%) were not statistically significant. DISCUSSION AND CONCLUSIONS: Smartphone-based pulse oximetry is not inferior to standard pulse oximetry in pediatric patients without hypoxia. Reliability was superior for PBA compared with CBA, with more precise agreement for the PBA compared with the CBA. Future studies should test pulse oximetry apps in a hypoxic pediatric population.","author":[{"dropping-particle":"","family":"Tomlinson","given":"Sarah","non-dropping-particle":"","parse-names":false,"suffix":""},{"dropping-particle":"","family":"Behrmann","given":"Sydney","non-dropping-particle":"","parse-names":false,"suffix":""},{"dropping-particle":"","family":"Cranford","given":"James","non-dropping-particle":"","parse-names":false,"suffix":""},{"dropping-particle":"","family":"Louie","given":"Marisa","non-dropping-particle":"","parse-names":false,"suffix":""},{"dropping-particle":"","family":"Hashikawa","given":"Andrew","non-dropping-particle":"","parse-names":false,"suffix":""}],"container-title":"Telemedicine journal and e-health : the official journal of the American Telemedicine Association","id":"ITEM-1","issue":"7","issued":{"date-parts":[["2018","7"]]},"language":"eng","page":"527-535","publisher-place":"United States","title":"Accuracy of Smartphone-Based Pulse Oximetry Compared with Hospital-Grade Pulse Oximetry in Healthy Children.","type":"article-journal","volume":"24"},"uris":["http://www.mendeley.com/documents/?uuid=0ac73375-0e02-4464-b060-cfecb9aaa9ff"]},{"id":"ITEM-2","itemData":{"DOI":"10.1016/j.ajem.2019.03.021","ISSN":"1532-8171 (Electronic)","PMID":"30904343","abstract":"OBJECTIVE: In this study, we aimed to evaluate the accuracy of HR and SaO2 data obtained using a smartphone compared with the measurements of a vital signs monitor (VSM) and an arterial blood gas (ABG) device, respectively. MATERIAL AND METHODS: In this single-center prospective study, the HR and SaO2 measurements were performed using the built-in sensor and light source of a Samsung Galaxy S8 smartphone and compared to the results of VSM and ABG device. The Bland-Altman analysis was used to evaluate and visualize the agreement between the methods. RESULTS: The data of 101 patients were analyzed. There was a high correlation between HR measured by smartphone and HR measured by VSM [P&lt;0.0001; 0.9918 (95% CI=0.987-0.994)]. In addition, the SaO2 values obtained by smartphone were highly correlated with those by ABG (P&lt;0.0001; 0.968 (95% CI=0.952-0.978)). CONCLUSION: The HR and SaO2 values obtained by smartphone were found to be consistent with the measurements of the reference devices. With the growing use of smartphone technology in the health field, we foresee that patients will be able to make their own triage assessment before presenting to the hospital.","author":[{"dropping-particle":"","family":"Tayfur","given":"Ismail","non-dropping-particle":"","parse-names":false,"suffix":""},{"dropping-particle":"","family":"Afacan","given":"Mustafa Ahmet","non-dropping-particle":"","parse-names":false,"suffix":""}],"container-title":"The American journal of emergency medicine","id":"ITEM-2","issue":"8","issued":{"date-parts":[["2019","8"]]},"language":"eng","page":"1527-1530","publisher-place":"United States","title":"Reliability of smartphone measurements of vital parameters: A prospective study using a reference method.","type":"article-journal","volume":"37"},"uris":["http://www.mendeley.com/documents/?uuid=4fcc7060-148b-475e-8ac3-158d9d365254"]}],"mendeley":{"formattedCitation":"&lt;sup&gt;7,8&lt;/sup&gt;","plainTextFormattedCitation":"7,8","previouslyFormattedCitation":"&lt;sup&gt;7,8&lt;/sup&gt;"},"properties":{"noteIndex":0},"schema":"https://github.com/citation-style-language/schema/raw/master/csl-citation.json"}</w:instrText>
      </w:r>
      <w:r>
        <w:rPr>
          <w:highlight w:val="white"/>
        </w:rPr>
        <w:fldChar w:fldCharType="separate"/>
      </w:r>
      <w:r w:rsidR="0026106C" w:rsidRPr="0026106C">
        <w:rPr>
          <w:noProof/>
          <w:highlight w:val="white"/>
          <w:vertAlign w:val="superscript"/>
        </w:rPr>
        <w:t>7,8</w:t>
      </w:r>
      <w:r>
        <w:rPr>
          <w:highlight w:val="white"/>
        </w:rPr>
        <w:fldChar w:fldCharType="end"/>
      </w:r>
      <w:r>
        <w:rPr>
          <w:highlight w:val="white"/>
        </w:rPr>
        <w:t xml:space="preserve"> and the </w:t>
      </w:r>
      <w:r w:rsidR="005406F5">
        <w:rPr>
          <w:highlight w:val="white"/>
        </w:rPr>
        <w:t>provision</w:t>
      </w:r>
      <w:r>
        <w:rPr>
          <w:highlight w:val="white"/>
        </w:rPr>
        <w:t xml:space="preserve"> of oximetry devices to remote patients. The latter strategy is standard in telemedicine interventions in chronic pulmonary diseases</w:t>
      </w:r>
      <w:r w:rsidR="009320C4">
        <w:rPr>
          <w:highlight w:val="white"/>
        </w:rPr>
        <w:fldChar w:fldCharType="begin" w:fldLock="1"/>
      </w:r>
      <w:r w:rsidR="0026106C">
        <w:rPr>
          <w:highlight w:val="white"/>
        </w:rPr>
        <w:instrText>ADDIN CSL_CITATION {"citationItems":[{"id":"ITEM-1","itemData":{"DOI":"http://dx.doi.org/10.1136/bmjresp-2018-000345","ISSN":"2052-4439 (electronic)","abstract":"Introduction Although the effectiveness of domiciliary monitoring (telehealth) to improve outcomes in chronic obstructive pulmonary disease (COPD) is controversial, it is being used in the National Health Service (NHS). Aim To explore the use of teleheath for COPD across England and Wales, to assess the perceptions of clinicians employing telehealth in COPD and to summarise the techniques that have been used by healthcare providers to personalise alarm limits for patients with COPD enrolled in telehealth programmes. Methods A cross-sectional survey consisting of 14 questions was sent to 230 COPD community services in England and Wales. Questions were designed to cover five aspects of telehealth in COPD: Purpose of use, equipment type, clinician perceptions, variables monitored and personalisation of alarm limits. Results 65 participants completed the survey from 52 different NHS Trusts. 46% of Trusts had used telehealth for COPD, and currently, 31% still provided telehealth services to patients with COPD. Telehealth is most commonly used for baseline monitoring and to allow early detection of exacerbations, with 54% believing it to be effective. The three most commonly monitored variables were oxygen saturation, heart rate and breathlessness. A variety of methods were used to set alarm limits with the majority of respondents believing that at least 40% of alarms were false. Conclusion Around one-third of responded community COPD services are using telehealth, believing it to be effective without robust evidence, with a variety of variables monitored, a variety of hardware and varying techniques to set alarm limits with high false alarm frequencies.Copyright © Author(s) (or their employer(s)) 2019.","author":[{"dropping-particle":"Al","family":"Rajeh","given":"Ahmed","non-dropping-particle":"","parse-names":false,"suffix":""},{"dropping-particle":"","family":"Steiner","given":"MC","non-dropping-particle":"","parse-names":false,"suffix":""},{"dropping-particle":"","family":"Aldabayan","given":"Y","non-dropping-particle":"","parse-names":false,"suffix":""},{"dropping-particle":"","family":"Aldhahir","given":"A","non-dropping-particle":"","parse-names":false,"suffix":""},{"dropping-particle":"","family":"Pickett","given":"E","non-dropping-particle":"","parse-names":false,"suffix":""},{"dropping-particle":"","family":"Quaderi","given":"S","non-dropping-particle":"","parse-names":false,"suffix":""},{"dropping-particle":"","family":"Hurst","given":"RJ","non-dropping-particle":"","parse-names":false,"suffix":""}],"container-title":"BMJ Open Respiratory Research","id":"ITEM-1","issue":"1","issued":{"date-parts":[["2019"]]},"language":"English","page":"e000345","publisher":"BMJ Publishing Group (E-mail: subscriptions@bmjgroup.com)","publisher-place":"A. Al Rajeh, Respiratory Medicine, University College London Medical School, London, United Kingdom. E-mail: ahmed.rajeh.15@ucl.ac.uk","title":"Use, utility and methods of telehealth for patients with COPD in England and Wales: A healthcare provider survey","type":"article-journal","volume":"6"},"uris":["http://www.mendeley.com/documents/?uuid=b8b74cf0-9041-4a21-bb1a-ce6c024c9b09"]}],"mendeley":{"formattedCitation":"&lt;sup&gt;9&lt;/sup&gt;","plainTextFormattedCitation":"9","previouslyFormattedCitation":"&lt;sup&gt;9&lt;/sup&gt;"},"properties":{"noteIndex":0},"schema":"https://github.com/citation-style-language/schema/raw/master/csl-citation.json"}</w:instrText>
      </w:r>
      <w:r w:rsidR="009320C4">
        <w:rPr>
          <w:highlight w:val="white"/>
        </w:rPr>
        <w:fldChar w:fldCharType="separate"/>
      </w:r>
      <w:r w:rsidR="0026106C" w:rsidRPr="0026106C">
        <w:rPr>
          <w:noProof/>
          <w:highlight w:val="white"/>
          <w:vertAlign w:val="superscript"/>
        </w:rPr>
        <w:t>9</w:t>
      </w:r>
      <w:r w:rsidR="009320C4">
        <w:rPr>
          <w:highlight w:val="white"/>
        </w:rPr>
        <w:fldChar w:fldCharType="end"/>
      </w:r>
      <w:r>
        <w:rPr>
          <w:highlight w:val="white"/>
        </w:rPr>
        <w:t xml:space="preserve">, but we did not find studies of </w:t>
      </w:r>
      <w:r w:rsidR="00541D14">
        <w:rPr>
          <w:highlight w:val="white"/>
        </w:rPr>
        <w:t>oximeter use</w:t>
      </w:r>
      <w:r>
        <w:rPr>
          <w:highlight w:val="white"/>
        </w:rPr>
        <w:t xml:space="preserve"> in the acute setting</w:t>
      </w:r>
      <w:r w:rsidR="00A2689E">
        <w:rPr>
          <w:highlight w:val="white"/>
        </w:rPr>
        <w:t xml:space="preserve"> </w:t>
      </w:r>
      <w:r w:rsidR="00541D14">
        <w:rPr>
          <w:highlight w:val="white"/>
        </w:rPr>
        <w:t>by patients or carers</w:t>
      </w:r>
      <w:r w:rsidR="005406F5">
        <w:rPr>
          <w:highlight w:val="white"/>
        </w:rPr>
        <w:t>.</w:t>
      </w:r>
    </w:p>
    <w:p w14:paraId="400D6967" w14:textId="21AD38EA" w:rsidR="005406F5" w:rsidRDefault="00423CF6" w:rsidP="00210D95">
      <w:pPr>
        <w:rPr>
          <w:highlight w:val="white"/>
        </w:rPr>
      </w:pPr>
      <w:r>
        <w:rPr>
          <w:highlight w:val="white"/>
        </w:rPr>
        <w:t>There is much v</w:t>
      </w:r>
      <w:r w:rsidR="005406F5">
        <w:rPr>
          <w:highlight w:val="white"/>
        </w:rPr>
        <w:t xml:space="preserve">ariability in the oximetry measurement </w:t>
      </w:r>
      <w:r w:rsidR="00B93630">
        <w:rPr>
          <w:highlight w:val="white"/>
        </w:rPr>
        <w:t>technology</w:t>
      </w:r>
      <w:r w:rsidR="005406F5">
        <w:rPr>
          <w:highlight w:val="white"/>
        </w:rPr>
        <w:t xml:space="preserve"> between, for example, newer Samsung</w:t>
      </w:r>
      <w:r>
        <w:rPr>
          <w:highlight w:val="white"/>
        </w:rPr>
        <w:t xml:space="preserve"> </w:t>
      </w:r>
      <w:r w:rsidR="005406F5">
        <w:rPr>
          <w:highlight w:val="white"/>
        </w:rPr>
        <w:t>devices (some of which use a dedicated sensor</w:t>
      </w:r>
      <w:r>
        <w:rPr>
          <w:highlight w:val="white"/>
        </w:rPr>
        <w:t xml:space="preserve"> capable of estimating pulse rate and oxygen saturation</w:t>
      </w:r>
      <w:r w:rsidR="005406F5">
        <w:rPr>
          <w:highlight w:val="white"/>
        </w:rPr>
        <w:t>) and Apple (which uses the built-in camera and light</w:t>
      </w:r>
      <w:r w:rsidR="009320C4">
        <w:rPr>
          <w:highlight w:val="white"/>
        </w:rPr>
        <w:t xml:space="preserve"> or a </w:t>
      </w:r>
      <w:r>
        <w:rPr>
          <w:highlight w:val="white"/>
        </w:rPr>
        <w:t>separate</w:t>
      </w:r>
      <w:r w:rsidR="009320C4">
        <w:rPr>
          <w:highlight w:val="white"/>
        </w:rPr>
        <w:t xml:space="preserve"> device</w:t>
      </w:r>
      <w:r w:rsidR="005406F5">
        <w:rPr>
          <w:highlight w:val="white"/>
        </w:rPr>
        <w:t>)</w:t>
      </w:r>
      <w:r>
        <w:rPr>
          <w:highlight w:val="white"/>
        </w:rPr>
        <w:t>.</w:t>
      </w:r>
      <w:r>
        <w:rPr>
          <w:highlight w:val="white"/>
        </w:rPr>
        <w:fldChar w:fldCharType="begin" w:fldLock="1"/>
      </w:r>
      <w:r w:rsidR="0026106C">
        <w:rPr>
          <w:highlight w:val="white"/>
        </w:rPr>
        <w:instrText>ADDIN CSL_CITATION {"citationItems":[{"id":"ITEM-1","itemData":{"DOI":"10.1089/tmj.2017.0166","ISSN":"1556-3669 (Electronic)","PMID":"29215972","abstract":"BACKGROUND: Pulse oximetry, a ubiquitous, noninvasive method to monitor oxygen saturation (SpO2), requires larger, nonportable equipment. Smartphone pulse oximeter applications (apps) provide a portable, cost-effective option, but are untested in children. We hypothesize that smartphone pulse oximetry will not be inferior to standard pulse oximetry measured in healthy children. MATERIALS AND METHODS: Two main types of pulse oximetry apps, a camera-based app (CBA) that uses a phone camera flash and lens and a probe-based app (PBA) that uses an external plug-in probe, were compared with standard pulse oximetry measured in children ages 2-13 years without a respiratory complaint and a triage SpO2 &gt;/=97% seen in a pediatric Emergency Department. Two investigators obtained heart rate and SpO2 using each app. Inter-rater reliability was tested using interclass correlations (ICCs), and Bland-Altman method was used to compare app values to triage measurements. RESULTS: Eighty-one patients were enrolled. ICC for SpO2 for PBA and CBA were 0.73 and -0.24, respectively. The 95% limits of agreement between the PBA SpO2 and triage SpO2 were -2.8 to +2.5 compared with -4.1 to +3.5 for the CBA SpO2 and triage SpO2. Mean differences between triage SpO2 and the PBA SpO2 (-0.17%) and triage SpO2 and CBA SpO2 (-0.33%) were not statistically significant. DISCUSSION AND CONCLUSIONS: Smartphone-based pulse oximetry is not inferior to standard pulse oximetry in pediatric patients without hypoxia. Reliability was superior for PBA compared with CBA, with more precise agreement for the PBA compared with the CBA. Future studies should test pulse oximetry apps in a hypoxic pediatric population.","author":[{"dropping-particle":"","family":"Tomlinson","given":"Sarah","non-dropping-particle":"","parse-names":false,"suffix":""},{"dropping-particle":"","family":"Behrmann","given":"Sydney","non-dropping-particle":"","parse-names":false,"suffix":""},{"dropping-particle":"","family":"Cranford","given":"James","non-dropping-particle":"","parse-names":false,"suffix":""},{"dropping-particle":"","family":"Louie","given":"Marisa","non-dropping-particle":"","parse-names":false,"suffix":""},{"dropping-particle":"","family":"Hashikawa","given":"Andrew","non-dropping-particle":"","parse-names":false,"suffix":""}],"container-title":"Telemedicine journal and e-health : the official journal of the American Telemedicine Association","id":"ITEM-1","issue":"7","issued":{"date-parts":[["2018","7"]]},"language":"eng","page":"527-535","publisher-place":"United States","title":"Accuracy of Smartphone-Based Pulse Oximetry Compared with Hospital-Grade Pulse Oximetry in Healthy Children.","type":"article-journal","volume":"24"},"uris":["http://www.mendeley.com/documents/?uuid=0ac73375-0e02-4464-b060-cfecb9aaa9ff"]},{"id":"ITEM-2","itemData":{"DOI":"10.1016/j.ajem.2019.03.021","ISSN":"1532-8171 (Electronic)","PMID":"30904343","abstract":"OBJECTIVE: In this study, we aimed to evaluate the accuracy of HR and SaO2 data obtained using a smartphone compared with the measurements of a vital signs monitor (VSM) and an arterial blood gas (ABG) device, respectively. MATERIAL AND METHODS: In this single-center prospective study, the HR and SaO2 measurements were performed using the built-in sensor and light source of a Samsung Galaxy S8 smartphone and compared to the results of VSM and ABG device. The Bland-Altman analysis was used to evaluate and visualize the agreement between the methods. RESULTS: The data of 101 patients were analyzed. There was a high correlation between HR measured by smartphone and HR measured by VSM [P&lt;0.0001; 0.9918 (95% CI=0.987-0.994)]. In addition, the SaO2 values obtained by smartphone were highly correlated with those by ABG (P&lt;0.0001; 0.968 (95% CI=0.952-0.978)). CONCLUSION: The HR and SaO2 values obtained by smartphone were found to be consistent with the measurements of the reference devices. With the growing use of smartphone technology in the health field, we foresee that patients will be able to make their own triage assessment before presenting to the hospital.","author":[{"dropping-particle":"","family":"Tayfur","given":"Ismail","non-dropping-particle":"","parse-names":false,"suffix":""},{"dropping-particle":"","family":"Afacan","given":"Mustafa Ahmet","non-dropping-particle":"","parse-names":false,"suffix":""}],"container-title":"The American journal of emergency medicine","id":"ITEM-2","issue":"8","issued":{"date-parts":[["2019","8"]]},"language":"eng","page":"1527-1530","publisher-place":"United States","title":"Reliability of smartphone measurements of vital parameters: A prospective study using a reference method.","type":"article-journal","volume":"37"},"uris":["http://www.mendeley.com/documents/?uuid=4fcc7060-148b-475e-8ac3-158d9d365254"]}],"mendeley":{"formattedCitation":"&lt;sup&gt;7,8&lt;/sup&gt;","plainTextFormattedCitation":"7,8","previouslyFormattedCitation":"&lt;sup&gt;7,8&lt;/sup&gt;"},"properties":{"noteIndex":0},"schema":"https://github.com/citation-style-language/schema/raw/master/csl-citation.json"}</w:instrText>
      </w:r>
      <w:r>
        <w:rPr>
          <w:highlight w:val="white"/>
        </w:rPr>
        <w:fldChar w:fldCharType="separate"/>
      </w:r>
      <w:r w:rsidR="0026106C" w:rsidRPr="0026106C">
        <w:rPr>
          <w:noProof/>
          <w:highlight w:val="white"/>
          <w:vertAlign w:val="superscript"/>
        </w:rPr>
        <w:t>7,8</w:t>
      </w:r>
      <w:r>
        <w:rPr>
          <w:highlight w:val="white"/>
        </w:rPr>
        <w:fldChar w:fldCharType="end"/>
      </w:r>
      <w:r>
        <w:rPr>
          <w:highlight w:val="white"/>
        </w:rPr>
        <w:t xml:space="preserve"> </w:t>
      </w:r>
      <w:r w:rsidR="00541D14">
        <w:rPr>
          <w:highlight w:val="white"/>
        </w:rPr>
        <w:t>Some studies have</w:t>
      </w:r>
      <w:r>
        <w:rPr>
          <w:highlight w:val="white"/>
        </w:rPr>
        <w:t xml:space="preserve"> </w:t>
      </w:r>
      <w:r w:rsidR="00541D14">
        <w:rPr>
          <w:highlight w:val="white"/>
        </w:rPr>
        <w:t xml:space="preserve">shown </w:t>
      </w:r>
      <w:r w:rsidR="007F05B7">
        <w:rPr>
          <w:highlight w:val="white"/>
        </w:rPr>
        <w:t>poor correlation</w:t>
      </w:r>
      <w:r>
        <w:rPr>
          <w:highlight w:val="white"/>
        </w:rPr>
        <w:t xml:space="preserve"> between smartphone measurements and those from</w:t>
      </w:r>
      <w:r w:rsidR="00871A10">
        <w:rPr>
          <w:highlight w:val="white"/>
        </w:rPr>
        <w:t xml:space="preserve"> </w:t>
      </w:r>
      <w:r w:rsidR="007F05B7">
        <w:rPr>
          <w:highlight w:val="white"/>
        </w:rPr>
        <w:t>devices used in the clinical setting</w:t>
      </w:r>
      <w:r w:rsidR="00541D14">
        <w:rPr>
          <w:highlight w:val="white"/>
        </w:rPr>
        <w:t>,</w:t>
      </w:r>
      <w:r w:rsidR="007F05B7">
        <w:rPr>
          <w:highlight w:val="white"/>
        </w:rPr>
        <w:fldChar w:fldCharType="begin" w:fldLock="1"/>
      </w:r>
      <w:r w:rsidR="0026106C">
        <w:rPr>
          <w:highlight w:val="white"/>
        </w:rPr>
        <w:instrText>ADDIN CSL_CITATION {"citationItems":[{"id":"ITEM-1","itemData":{"DOI":"10.1007/s10877-016-9889-6","ISSN":"1573-2614 (Electronic)","PMID":"27170014","abstract":"Use of healthcare-related smartphone applications is common. However, there is concern that inaccurate information from these applications may lead patients to make erroneous healthcare decisions. The objective of this study is to study smartphone applications purporting to measure vital sign data using only onboard technology compared with monitors used routinely in clinical practice. This is a prospective trial comparing correlation between a clinically utilized vital sign monitor (Propaq CS, WelchAllyn, Skaneateles Falls, NY, USA) and four smartphone application-based monitors Instant Blood Pressure, Instant Blood Pressure Pro, Pulse Oximeter, and Pulse Oximeter Pro. We performed measurements of heart rate (HR), systolic blood pressures (SBP), diastolic blood pressure (DBP), and oxygen saturation (SpO2) using standard monitor and four smartphone applications. Analysis of variance was used to compare measurements from the applications to the routine monitor. The study was completed on 100 healthy volunteers. Comparison of routine monitor with the smartphone applications shows significant differences in terms of HR, SpO2 and DBP. The SBP values from the applications were not significantly different from those from the routine monitor, but had wide limits of agreement signifying a large degree of variation in the compared values. The degree of correlation between monitors routinely used in clinical practice and the smartphone-based applications studied is insufficient to recommend clinical utilization. This lack of correlation suggests that the applications evaluated do not provide clinically meaningful data. The inaccurate data provided by these applications can potentially contribute to patient harm.","author":[{"dropping-particle":"","family":"Alexander","given":"John C","non-dropping-particle":"","parse-names":false,"suffix":""},{"dropping-particle":"","family":"Minhajuddin","given":"Abu","non-dropping-particle":"","parse-names":false,"suffix":""},{"dropping-particle":"","family":"Joshi","given":"Girish P","non-dropping-particle":"","parse-names":false,"suffix":""}],"container-title":"Journal of clinical monitoring and computing","id":"ITEM-1","issue":"4","issued":{"date-parts":[["2017","8"]]},"language":"eng","page":"825-831","publisher-place":"Netherlands","title":"Comparison of smartphone application-based vital sign monitors without external hardware versus those used in clinical practice: a prospective trial.","type":"article-journal","volume":"31"},"uris":["http://www.mendeley.com/documents/?uuid=5d1740ef-20b7-40fb-b313-61f6e3461425"]}],"mendeley":{"formattedCitation":"&lt;sup&gt;10&lt;/sup&gt;","plainTextFormattedCitation":"10","previouslyFormattedCitation":"&lt;sup&gt;10&lt;/sup&gt;"},"properties":{"noteIndex":0},"schema":"https://github.com/citation-style-language/schema/raw/master/csl-citation.json"}</w:instrText>
      </w:r>
      <w:r w:rsidR="007F05B7">
        <w:rPr>
          <w:highlight w:val="white"/>
        </w:rPr>
        <w:fldChar w:fldCharType="separate"/>
      </w:r>
      <w:r w:rsidR="0026106C" w:rsidRPr="0026106C">
        <w:rPr>
          <w:noProof/>
          <w:highlight w:val="white"/>
          <w:vertAlign w:val="superscript"/>
        </w:rPr>
        <w:t>10</w:t>
      </w:r>
      <w:r w:rsidR="007F05B7">
        <w:rPr>
          <w:highlight w:val="white"/>
        </w:rPr>
        <w:fldChar w:fldCharType="end"/>
      </w:r>
      <w:r>
        <w:rPr>
          <w:highlight w:val="white"/>
        </w:rPr>
        <w:t xml:space="preserve"> </w:t>
      </w:r>
      <w:r w:rsidR="00541D14">
        <w:rPr>
          <w:highlight w:val="white"/>
        </w:rPr>
        <w:t>and the incidence and impact of user error has not been studied. We would not generally recommend</w:t>
      </w:r>
      <w:r w:rsidR="007F05B7">
        <w:rPr>
          <w:highlight w:val="white"/>
        </w:rPr>
        <w:t xml:space="preserve"> </w:t>
      </w:r>
      <w:r w:rsidR="00541D14">
        <w:rPr>
          <w:highlight w:val="white"/>
        </w:rPr>
        <w:t>using them in clinical assessments</w:t>
      </w:r>
      <w:r w:rsidR="007F05B7">
        <w:rPr>
          <w:highlight w:val="white"/>
        </w:rPr>
        <w:t>.</w:t>
      </w:r>
      <w:r w:rsidR="00541D14">
        <w:rPr>
          <w:highlight w:val="white"/>
        </w:rPr>
        <w:t xml:space="preserve"> In crisis situations,  </w:t>
      </w:r>
    </w:p>
    <w:p w14:paraId="465E69FF" w14:textId="77777777" w:rsidR="0045061D" w:rsidRDefault="0045061D" w:rsidP="00712937">
      <w:pPr>
        <w:rPr>
          <w:highlight w:val="white"/>
        </w:rPr>
      </w:pPr>
      <w:r>
        <w:rPr>
          <w:highlight w:val="white"/>
        </w:rPr>
        <w:br w:type="page"/>
      </w:r>
    </w:p>
    <w:p w14:paraId="0FD84CD3" w14:textId="0FF33209" w:rsidR="00D46EED" w:rsidRDefault="007F05B7" w:rsidP="00712937">
      <w:pPr>
        <w:rPr>
          <w:highlight w:val="white"/>
        </w:rPr>
      </w:pPr>
      <w:r>
        <w:rPr>
          <w:highlight w:val="white"/>
        </w:rPr>
        <w:lastRenderedPageBreak/>
        <w:t>The Roth Score is a potentially useful, easy-to-use tool, which combines maximal count reached (starting from 1 to 30 in one’s native language) during a single exhalation and the time taken to reach the maximum count</w:t>
      </w:r>
      <w:r w:rsidR="002C519D">
        <w:rPr>
          <w:highlight w:val="white"/>
        </w:rPr>
        <w:t xml:space="preserve"> (the second score is called the “counting time”)</w:t>
      </w:r>
      <w:r w:rsidR="009971A2">
        <w:rPr>
          <w:highlight w:val="white"/>
        </w:rPr>
        <w:t xml:space="preserve">. It </w:t>
      </w:r>
      <w:r w:rsidR="00645479">
        <w:rPr>
          <w:highlight w:val="white"/>
        </w:rPr>
        <w:t>has been validat</w:t>
      </w:r>
      <w:r w:rsidR="002C519D">
        <w:rPr>
          <w:highlight w:val="white"/>
        </w:rPr>
        <w:t>ed</w:t>
      </w:r>
      <w:r>
        <w:rPr>
          <w:highlight w:val="white"/>
        </w:rPr>
        <w:t xml:space="preserve"> against pulse oximetry.</w:t>
      </w:r>
      <w:r>
        <w:rPr>
          <w:highlight w:val="white"/>
        </w:rPr>
        <w:fldChar w:fldCharType="begin" w:fldLock="1"/>
      </w:r>
      <w:r w:rsidR="0026106C">
        <w:rPr>
          <w:highlight w:val="white"/>
        </w:rPr>
        <w:instrText>ADDIN CSL_CITATION {"citationItems":[{"id":"ITEM-1","itemData":{"DOI":"10.1002/clc.22586","ISSN":"1932-8737 (Electronic)","PMID":"27701750","abstract":"INTRODUCTION: Health care demand is increasing due to greater longevity of patients with chronic comorbidities. This increasing demand is occurring in a setting of resource scarcity. To address these changes, high-value care initiatives, such as telemedicine, are valuable resource-preservation strategies. This study introduces the Roth score as a telemedicine tool that uses patient counting times to accurately risk-stratify dyspnea severity in terms of hypoxia. HYPOTHESIS: The Roth score has correlation with dyspnea severity. METHODS: This is a prospective, controlled-cohort study. Roth score index is measured by having the patient count from 1 to 30 in their native language, in a single breath, as rapidly as possible. The primary result of the Roth score is the duration of time and the highest number reached. RESULTS: There was a strongly positive correlation between pulse oximetry and both maximal count achieved in 1 breath (r = 0.67; P &lt; 0.001) and counting time (r = 0.59; P &lt; 0.001). For oxygen saturation &lt;95%, the maximal count number area under the curve is 0.828 and counting time area under the curve is 0.764. Counting time &gt;8 seconds had a sensitivity of 78% and specificity of 73% for pulse oximetry &lt;95%. CONCLUSIONS: The Roth score has strong correlation with dyspnea severity as determined by hypoxia. This tool is reproducible, low resource-utilization, and amenable to telemedicine. It is not intended to replace full clinical workup and diagnosis of respiratory distress, but it is useful in risk-stratifying severity of dyspnea that warrants further clinical evaluation.","author":[{"dropping-particle":"","family":"Chorin","given":"Ehud","non-dropping-particle":"","parse-names":false,"suffix":""},{"dropping-particle":"","family":"Padegimas","given":"Allison","non-dropping-particle":"","parse-names":false,"suffix":""},{"dropping-particle":"","family":"Havakuk","given":"Ofer","non-dropping-particle":"","parse-names":false,"suffix":""},{"dropping-particle":"","family":"Birati","given":"Edo Y","non-dropping-particle":"","parse-names":false,"suffix":""},{"dropping-particle":"","family":"Shacham","given":"Yacov","non-dropping-particle":"","parse-names":false,"suffix":""},{"dropping-particle":"","family":"Milman","given":"Anat","non-dropping-particle":"","parse-names":false,"suffix":""},{"dropping-particle":"","family":"Topaz","given":"Guy","non-dropping-particle":"","parse-names":false,"suffix":""},{"dropping-particle":"","family":"Flint","given":"Nir","non-dropping-particle":"","parse-names":false,"suffix":""},{"dropping-particle":"","family":"Keren","given":"Gad","non-dropping-particle":"","parse-names":false,"suffix":""},{"dropping-particle":"","family":"Rogowski","given":"Ori","non-dropping-particle":"","parse-names":false,"suffix":""}],"container-title":"Clinical cardiology","id":"ITEM-1","issue":"11","issued":{"date-parts":[["2016","11"]]},"language":"eng","page":"636-639","publisher-place":"United States","title":"Assessment of Respiratory Distress by the Roth Score.","type":"article-journal","volume":"39"},"uris":["http://www.mendeley.com/documents/?uuid=9d2b4aa1-a11d-451e-8b83-69bef76e718e"]}],"mendeley":{"formattedCitation":"&lt;sup&gt;6&lt;/sup&gt;","plainTextFormattedCitation":"6","previouslyFormattedCitation":"&lt;sup&gt;6&lt;/sup&gt;"},"properties":{"noteIndex":0},"schema":"https://github.com/citation-style-language/schema/raw/master/csl-citation.json"}</w:instrText>
      </w:r>
      <w:r>
        <w:rPr>
          <w:highlight w:val="white"/>
        </w:rPr>
        <w:fldChar w:fldCharType="separate"/>
      </w:r>
      <w:r w:rsidR="0026106C" w:rsidRPr="0026106C">
        <w:rPr>
          <w:noProof/>
          <w:highlight w:val="white"/>
          <w:vertAlign w:val="superscript"/>
        </w:rPr>
        <w:t>6</w:t>
      </w:r>
      <w:r>
        <w:rPr>
          <w:highlight w:val="white"/>
        </w:rPr>
        <w:fldChar w:fldCharType="end"/>
      </w:r>
      <w:r>
        <w:rPr>
          <w:highlight w:val="white"/>
        </w:rPr>
        <w:t xml:space="preserve"> </w:t>
      </w:r>
      <w:r w:rsidR="00645479">
        <w:rPr>
          <w:highlight w:val="white"/>
        </w:rPr>
        <w:t>However</w:t>
      </w:r>
      <w:r>
        <w:rPr>
          <w:highlight w:val="white"/>
        </w:rPr>
        <w:t>, only one study describing and attempting to validate this tool exists</w:t>
      </w:r>
      <w:r w:rsidR="00A2689E">
        <w:rPr>
          <w:highlight w:val="white"/>
        </w:rPr>
        <w:t>, and was conducted in hospitalized patients and healthy volunteers</w:t>
      </w:r>
      <w:r>
        <w:rPr>
          <w:highlight w:val="white"/>
        </w:rPr>
        <w:t xml:space="preserve">. </w:t>
      </w:r>
      <w:r w:rsidR="0013180D">
        <w:rPr>
          <w:highlight w:val="white"/>
        </w:rPr>
        <w:t xml:space="preserve">If this tool is to be used in the primary care (or other settings), it </w:t>
      </w:r>
      <w:r w:rsidR="001375A5">
        <w:rPr>
          <w:highlight w:val="white"/>
        </w:rPr>
        <w:t>should continue to be</w:t>
      </w:r>
      <w:r w:rsidR="0013180D">
        <w:rPr>
          <w:highlight w:val="white"/>
        </w:rPr>
        <w:t xml:space="preserve"> studied and adapted to the setting. Its use is summarized in the table </w:t>
      </w:r>
      <w:r w:rsidR="00465C8F">
        <w:rPr>
          <w:highlight w:val="white"/>
        </w:rPr>
        <w:t>4.</w:t>
      </w:r>
      <w:r w:rsidR="00712937">
        <w:rPr>
          <w:highlight w:val="white"/>
        </w:rPr>
        <w:t xml:space="preserve"> </w:t>
      </w:r>
    </w:p>
    <w:p w14:paraId="2FC105D4" w14:textId="77777777" w:rsidR="007F05B7" w:rsidRPr="00F07E96" w:rsidRDefault="007F05B7" w:rsidP="00373901">
      <w:pPr>
        <w:pStyle w:val="Heading2"/>
        <w:rPr>
          <w:highlight w:val="white"/>
        </w:rPr>
      </w:pPr>
      <w:r w:rsidRPr="00F07E96">
        <w:rPr>
          <w:highlight w:val="white"/>
        </w:rPr>
        <w:t>Research question</w:t>
      </w:r>
    </w:p>
    <w:p w14:paraId="1B0975C7" w14:textId="496AFB07" w:rsidR="00C110BA" w:rsidRPr="00F07E96" w:rsidRDefault="00101314" w:rsidP="009320C4">
      <w:pPr>
        <w:rPr>
          <w:highlight w:val="white"/>
        </w:rPr>
      </w:pPr>
      <w:r w:rsidRPr="00F07E96">
        <w:rPr>
          <w:highlight w:val="white"/>
        </w:rPr>
        <w:t xml:space="preserve">In patients experiencing dyspnoea (population), what are </w:t>
      </w:r>
      <w:r w:rsidR="00465C8F">
        <w:rPr>
          <w:highlight w:val="white"/>
        </w:rPr>
        <w:t xml:space="preserve">reliable </w:t>
      </w:r>
      <w:r w:rsidRPr="00F07E96">
        <w:rPr>
          <w:highlight w:val="white"/>
        </w:rPr>
        <w:t>methods for assessing their respiratory complaints through the use of telemedicine</w:t>
      </w:r>
      <w:r w:rsidR="007311FE">
        <w:rPr>
          <w:highlight w:val="white"/>
        </w:rPr>
        <w:t xml:space="preserve"> </w:t>
      </w:r>
      <w:proofErr w:type="spellStart"/>
      <w:r w:rsidR="007311FE">
        <w:rPr>
          <w:highlight w:val="white"/>
        </w:rPr>
        <w:t>ie</w:t>
      </w:r>
      <w:proofErr w:type="spellEnd"/>
      <w:r w:rsidR="007311FE">
        <w:rPr>
          <w:highlight w:val="white"/>
        </w:rPr>
        <w:t xml:space="preserve"> video/phone</w:t>
      </w:r>
      <w:r w:rsidRPr="00F07E96">
        <w:rPr>
          <w:highlight w:val="white"/>
        </w:rPr>
        <w:t xml:space="preserve"> (intervention), compared with </w:t>
      </w:r>
      <w:r w:rsidR="006356EC">
        <w:rPr>
          <w:highlight w:val="white"/>
        </w:rPr>
        <w:t>face-to-face</w:t>
      </w:r>
      <w:r w:rsidRPr="00F07E96">
        <w:rPr>
          <w:highlight w:val="white"/>
        </w:rPr>
        <w:t xml:space="preserve"> consultations (comparison)</w:t>
      </w:r>
      <w:r w:rsidR="00465C8F">
        <w:rPr>
          <w:highlight w:val="white"/>
        </w:rPr>
        <w:t xml:space="preserve"> in detecting low blood oxygen saturation, or estimating need for hospitalisation or risk death</w:t>
      </w:r>
      <w:r w:rsidR="00712937">
        <w:rPr>
          <w:highlight w:val="white"/>
        </w:rPr>
        <w:t xml:space="preserve"> </w:t>
      </w:r>
      <w:r w:rsidR="00465C8F">
        <w:rPr>
          <w:highlight w:val="white"/>
        </w:rPr>
        <w:t>(outcome)</w:t>
      </w:r>
      <w:r w:rsidR="00D12E92" w:rsidRPr="00F07E96">
        <w:rPr>
          <w:highlight w:val="white"/>
        </w:rPr>
        <w:t>?</w:t>
      </w:r>
    </w:p>
    <w:p w14:paraId="54F80C03" w14:textId="7CE31412" w:rsidR="00C110BA" w:rsidRPr="00F07E96" w:rsidRDefault="00210D95" w:rsidP="009320C4">
      <w:pPr>
        <w:rPr>
          <w:highlight w:val="white"/>
        </w:rPr>
      </w:pPr>
      <w:r w:rsidRPr="00F07E96">
        <w:rPr>
          <w:highlight w:val="white"/>
        </w:rPr>
        <w:t>We searched for p</w:t>
      </w:r>
      <w:r w:rsidR="00101314" w:rsidRPr="00F07E96">
        <w:rPr>
          <w:highlight w:val="white"/>
        </w:rPr>
        <w:t xml:space="preserve">rimary research studies assessing methods to evaluate dyspnoea </w:t>
      </w:r>
      <w:r w:rsidR="00D12E92" w:rsidRPr="00F07E96">
        <w:rPr>
          <w:highlight w:val="white"/>
        </w:rPr>
        <w:t>remotely</w:t>
      </w:r>
      <w:r w:rsidR="00101314" w:rsidRPr="00F07E96">
        <w:rPr>
          <w:highlight w:val="white"/>
        </w:rPr>
        <w:t xml:space="preserve"> through</w:t>
      </w:r>
      <w:r w:rsidR="00D12E92" w:rsidRPr="00F07E96">
        <w:rPr>
          <w:highlight w:val="white"/>
        </w:rPr>
        <w:t xml:space="preserve"> a tool</w:t>
      </w:r>
      <w:r w:rsidR="00101314" w:rsidRPr="00F07E96">
        <w:rPr>
          <w:highlight w:val="white"/>
        </w:rPr>
        <w:t xml:space="preserve"> compared to </w:t>
      </w:r>
      <w:r w:rsidR="00B352D0">
        <w:rPr>
          <w:highlight w:val="white"/>
        </w:rPr>
        <w:t>oximeter</w:t>
      </w:r>
      <w:r w:rsidR="00D12E92" w:rsidRPr="00F07E96">
        <w:rPr>
          <w:highlight w:val="white"/>
        </w:rPr>
        <w:t>, arterial blood gas</w:t>
      </w:r>
      <w:r w:rsidR="00101314" w:rsidRPr="00F07E96">
        <w:rPr>
          <w:highlight w:val="white"/>
        </w:rPr>
        <w:t xml:space="preserve"> measurement</w:t>
      </w:r>
      <w:r w:rsidR="00D12E92" w:rsidRPr="00F07E96">
        <w:rPr>
          <w:highlight w:val="white"/>
        </w:rPr>
        <w:t xml:space="preserve"> or other </w:t>
      </w:r>
      <w:r w:rsidR="00B352D0">
        <w:rPr>
          <w:highlight w:val="white"/>
        </w:rPr>
        <w:t>reference standard</w:t>
      </w:r>
      <w:r w:rsidR="00101314" w:rsidRPr="00F07E96">
        <w:rPr>
          <w:highlight w:val="white"/>
        </w:rPr>
        <w:t>.</w:t>
      </w:r>
    </w:p>
    <w:p w14:paraId="4AF1BC2F" w14:textId="56F85727" w:rsidR="00C110BA" w:rsidRPr="009320C4" w:rsidRDefault="00101314" w:rsidP="009320C4">
      <w:pPr>
        <w:pStyle w:val="ListParagraph"/>
        <w:numPr>
          <w:ilvl w:val="0"/>
          <w:numId w:val="2"/>
        </w:numPr>
        <w:rPr>
          <w:highlight w:val="white"/>
        </w:rPr>
      </w:pPr>
      <w:r w:rsidRPr="009320C4">
        <w:rPr>
          <w:highlight w:val="white"/>
        </w:rPr>
        <w:t>Inclusion criteria: Primary research studies assessing acute dyspnoea through questionnaire or self-examination or other method available via video or telephon</w:t>
      </w:r>
      <w:r w:rsidR="00B352D0">
        <w:rPr>
          <w:highlight w:val="white"/>
        </w:rPr>
        <w:t>e</w:t>
      </w:r>
      <w:r w:rsidRPr="009320C4">
        <w:rPr>
          <w:highlight w:val="white"/>
        </w:rPr>
        <w:t>.</w:t>
      </w:r>
    </w:p>
    <w:p w14:paraId="36CD42E6" w14:textId="78428D25" w:rsidR="00C110BA" w:rsidRPr="009320C4" w:rsidRDefault="00101314" w:rsidP="009320C4">
      <w:pPr>
        <w:pStyle w:val="ListParagraph"/>
        <w:numPr>
          <w:ilvl w:val="0"/>
          <w:numId w:val="2"/>
        </w:numPr>
        <w:rPr>
          <w:highlight w:val="white"/>
        </w:rPr>
      </w:pPr>
      <w:r w:rsidRPr="009320C4">
        <w:rPr>
          <w:highlight w:val="white"/>
        </w:rPr>
        <w:t>Exclusion criteria: Assessment of chronic dyspnoea, studies that use devices not available through telephon</w:t>
      </w:r>
      <w:r w:rsidR="00E81E87">
        <w:rPr>
          <w:highlight w:val="white"/>
        </w:rPr>
        <w:t>e</w:t>
      </w:r>
      <w:r w:rsidRPr="009320C4">
        <w:rPr>
          <w:highlight w:val="white"/>
        </w:rPr>
        <w:t xml:space="preserve"> or video interview. </w:t>
      </w:r>
    </w:p>
    <w:p w14:paraId="6049FBA2" w14:textId="77777777" w:rsidR="00373901" w:rsidRDefault="00373901" w:rsidP="00210D95">
      <w:pPr>
        <w:pStyle w:val="Heading2"/>
        <w:rPr>
          <w:color w:val="000000" w:themeColor="text1"/>
          <w:highlight w:val="white"/>
        </w:rPr>
        <w:sectPr w:rsidR="00373901" w:rsidSect="00210D95">
          <w:pgSz w:w="12240" w:h="15840" w:orient="landscape"/>
          <w:pgMar w:top="1440" w:right="1440" w:bottom="1440" w:left="1440" w:header="720" w:footer="720" w:gutter="0"/>
          <w:pgNumType w:start="1"/>
          <w:cols w:space="720"/>
          <w:docGrid w:linePitch="299"/>
        </w:sectPr>
      </w:pPr>
    </w:p>
    <w:p w14:paraId="7B8C33A3" w14:textId="733F5919" w:rsidR="00C110BA" w:rsidRPr="00F07E96" w:rsidRDefault="00101314" w:rsidP="00210D95">
      <w:pPr>
        <w:pStyle w:val="Heading2"/>
        <w:rPr>
          <w:color w:val="000000" w:themeColor="text1"/>
          <w:highlight w:val="white"/>
        </w:rPr>
      </w:pPr>
      <w:r w:rsidRPr="00F07E96">
        <w:rPr>
          <w:color w:val="000000" w:themeColor="text1"/>
          <w:highlight w:val="white"/>
        </w:rPr>
        <w:lastRenderedPageBreak/>
        <w:t xml:space="preserve">Sources and searches: </w:t>
      </w:r>
    </w:p>
    <w:p w14:paraId="4CA5FC5C" w14:textId="556C2D85" w:rsidR="00210D95" w:rsidRPr="00F07E96" w:rsidRDefault="00210D95" w:rsidP="009320C4">
      <w:pPr>
        <w:rPr>
          <w:highlight w:val="white"/>
        </w:rPr>
      </w:pPr>
      <w:r w:rsidRPr="00F07E96">
        <w:rPr>
          <w:highlight w:val="white"/>
        </w:rPr>
        <w:t>We searched EMBASE</w:t>
      </w:r>
      <w:r w:rsidR="009320C4">
        <w:rPr>
          <w:highlight w:val="white"/>
        </w:rPr>
        <w:t xml:space="preserve"> and PubMed</w:t>
      </w:r>
    </w:p>
    <w:p w14:paraId="16CF30EA" w14:textId="77777777" w:rsidR="009320C4" w:rsidRPr="00F07E96" w:rsidRDefault="009320C4" w:rsidP="009320C4">
      <w:pPr>
        <w:rPr>
          <w:highlight w:val="white"/>
        </w:rPr>
      </w:pPr>
      <w:proofErr w:type="spellStart"/>
      <w:r w:rsidRPr="00F07E96">
        <w:rPr>
          <w:highlight w:val="white"/>
        </w:rPr>
        <w:t>Embase</w:t>
      </w:r>
      <w:proofErr w:type="spellEnd"/>
      <w:r w:rsidRPr="00F07E96">
        <w:rPr>
          <w:highlight w:val="white"/>
        </w:rPr>
        <w:t>: We used the Thesaurus search builder with the terms “</w:t>
      </w:r>
      <w:proofErr w:type="spellStart"/>
      <w:r w:rsidRPr="00F07E96">
        <w:rPr>
          <w:highlight w:val="white"/>
        </w:rPr>
        <w:t>dyspnea</w:t>
      </w:r>
      <w:proofErr w:type="spellEnd"/>
      <w:r w:rsidRPr="00F07E96">
        <w:rPr>
          <w:highlight w:val="white"/>
        </w:rPr>
        <w:t>” OR “hypoxia” OR “oximetry” AND “telemedicine” OR “smartphone” OR “telephone”</w:t>
      </w:r>
    </w:p>
    <w:p w14:paraId="25942C2B" w14:textId="7D77A89E" w:rsidR="009320C4" w:rsidRDefault="009320C4" w:rsidP="009320C4">
      <w:pPr>
        <w:ind w:firstLine="720"/>
        <w:rPr>
          <w:highlight w:val="white"/>
        </w:rPr>
      </w:pPr>
      <w:r w:rsidRPr="00F07E96">
        <w:rPr>
          <w:highlight w:val="white"/>
        </w:rPr>
        <w:t>This yielded 627 results</w:t>
      </w:r>
      <w:r w:rsidR="00267C5E">
        <w:rPr>
          <w:highlight w:val="white"/>
        </w:rPr>
        <w:t>.</w:t>
      </w:r>
    </w:p>
    <w:p w14:paraId="406F3913" w14:textId="77777777" w:rsidR="00C110BA" w:rsidRPr="00F07E96" w:rsidRDefault="00101314" w:rsidP="009320C4">
      <w:pPr>
        <w:rPr>
          <w:highlight w:val="white"/>
        </w:rPr>
      </w:pPr>
      <w:proofErr w:type="spellStart"/>
      <w:r w:rsidRPr="00F07E96">
        <w:rPr>
          <w:highlight w:val="white"/>
        </w:rPr>
        <w:t>Pubmed</w:t>
      </w:r>
      <w:proofErr w:type="spellEnd"/>
      <w:r w:rsidRPr="00F07E96">
        <w:rPr>
          <w:highlight w:val="white"/>
        </w:rPr>
        <w:t xml:space="preserve">: We </w:t>
      </w:r>
      <w:r w:rsidR="00D12E92" w:rsidRPr="00F07E96">
        <w:rPr>
          <w:highlight w:val="white"/>
        </w:rPr>
        <w:t>performed</w:t>
      </w:r>
      <w:r w:rsidRPr="00F07E96">
        <w:rPr>
          <w:highlight w:val="white"/>
        </w:rPr>
        <w:t xml:space="preserve"> the following search string</w:t>
      </w:r>
      <w:r w:rsidR="00D12E92" w:rsidRPr="00F07E96">
        <w:rPr>
          <w:highlight w:val="white"/>
        </w:rPr>
        <w:t xml:space="preserve"> using the relevant </w:t>
      </w:r>
      <w:proofErr w:type="spellStart"/>
      <w:r w:rsidR="00D12E92" w:rsidRPr="00F07E96">
        <w:rPr>
          <w:highlight w:val="white"/>
        </w:rPr>
        <w:t>MeSH</w:t>
      </w:r>
      <w:proofErr w:type="spellEnd"/>
      <w:r w:rsidR="00D12E92" w:rsidRPr="00F07E96">
        <w:rPr>
          <w:highlight w:val="white"/>
        </w:rPr>
        <w:t xml:space="preserve"> terms</w:t>
      </w:r>
      <w:r w:rsidRPr="00F07E96">
        <w:rPr>
          <w:highlight w:val="white"/>
        </w:rPr>
        <w:t xml:space="preserve">: </w:t>
      </w:r>
    </w:p>
    <w:p w14:paraId="05ED6460" w14:textId="77777777" w:rsidR="00C110BA" w:rsidRPr="00F07E96" w:rsidRDefault="00101314" w:rsidP="009320C4">
      <w:pPr>
        <w:rPr>
          <w:rFonts w:eastAsia="Roboto"/>
          <w:highlight w:val="white"/>
        </w:rPr>
      </w:pPr>
      <w:r w:rsidRPr="00F07E96">
        <w:rPr>
          <w:rFonts w:eastAsia="Roboto"/>
          <w:highlight w:val="white"/>
        </w:rPr>
        <w:t>("Oximetry"[Mesh] OR "Blood Gas Monitoring, Transcutaneous"[Mesh] OR "</w:t>
      </w:r>
      <w:proofErr w:type="spellStart"/>
      <w:r w:rsidRPr="00F07E96">
        <w:rPr>
          <w:rFonts w:eastAsia="Roboto"/>
          <w:highlight w:val="white"/>
        </w:rPr>
        <w:t>Dyspnea</w:t>
      </w:r>
      <w:proofErr w:type="spellEnd"/>
      <w:r w:rsidRPr="00F07E96">
        <w:rPr>
          <w:rFonts w:eastAsia="Roboto"/>
          <w:highlight w:val="white"/>
        </w:rPr>
        <w:t xml:space="preserve">"[Mesh] OR "hypoxia"[Mesh]) AND ("Telemedicine"[Mesh] OR "Remote Consultation"[Mesh] OR "Smartphone"[Mesh] OR "Telephone"[Mesh]) </w:t>
      </w:r>
    </w:p>
    <w:p w14:paraId="7F305B83" w14:textId="728CBC31" w:rsidR="00C110BA" w:rsidRPr="00F07E96" w:rsidRDefault="00101314" w:rsidP="009320C4">
      <w:pPr>
        <w:ind w:firstLine="720"/>
        <w:rPr>
          <w:rFonts w:eastAsia="Roboto"/>
          <w:highlight w:val="white"/>
        </w:rPr>
      </w:pPr>
      <w:r w:rsidRPr="00F07E96">
        <w:rPr>
          <w:rFonts w:eastAsia="Roboto"/>
          <w:highlight w:val="white"/>
        </w:rPr>
        <w:t>This yielded 112 results</w:t>
      </w:r>
      <w:r w:rsidR="00267C5E">
        <w:rPr>
          <w:rFonts w:eastAsia="Roboto"/>
          <w:highlight w:val="white"/>
        </w:rPr>
        <w:t>.</w:t>
      </w:r>
    </w:p>
    <w:p w14:paraId="7D33A9F8" w14:textId="77777777" w:rsidR="00C110BA" w:rsidRPr="00F07E96" w:rsidRDefault="00101314" w:rsidP="009320C4">
      <w:pPr>
        <w:rPr>
          <w:highlight w:val="white"/>
        </w:rPr>
      </w:pPr>
      <w:r w:rsidRPr="00F07E96">
        <w:rPr>
          <w:highlight w:val="white"/>
        </w:rPr>
        <w:t>We reviewed the titles and abstracts of the results and identified 18 studies for full-text review.</w:t>
      </w:r>
    </w:p>
    <w:p w14:paraId="420C9930" w14:textId="6820AFC6" w:rsidR="00C110BA" w:rsidRDefault="00101314" w:rsidP="009320C4">
      <w:pPr>
        <w:rPr>
          <w:highlight w:val="white"/>
        </w:rPr>
      </w:pPr>
      <w:r w:rsidRPr="00F07E96">
        <w:rPr>
          <w:highlight w:val="white"/>
        </w:rPr>
        <w:t xml:space="preserve">Based on inclusion/exclusion criteria, we identified </w:t>
      </w:r>
      <w:r w:rsidR="001A68F0">
        <w:rPr>
          <w:highlight w:val="white"/>
        </w:rPr>
        <w:t xml:space="preserve">3 </w:t>
      </w:r>
      <w:r w:rsidRPr="00F07E96">
        <w:rPr>
          <w:highlight w:val="white"/>
        </w:rPr>
        <w:t>studies meeting our inclusion criteria, which we summarized in table 1</w:t>
      </w:r>
      <w:r w:rsidR="009320C4">
        <w:rPr>
          <w:highlight w:val="white"/>
        </w:rPr>
        <w:t xml:space="preserve"> and critically appraised in table 2. </w:t>
      </w:r>
      <w:r w:rsidRPr="00F07E96">
        <w:rPr>
          <w:highlight w:val="white"/>
        </w:rPr>
        <w:t xml:space="preserve">We have also included a summary of other existing dyspnoea symptom-based scores and a brief description of each and assessment of their applicability to the </w:t>
      </w:r>
      <w:r w:rsidR="00567A02" w:rsidRPr="00F07E96">
        <w:rPr>
          <w:highlight w:val="white"/>
        </w:rPr>
        <w:t>research question.</w:t>
      </w:r>
      <w:r w:rsidR="009320C4">
        <w:rPr>
          <w:highlight w:val="white"/>
        </w:rPr>
        <w:t xml:space="preserve"> </w:t>
      </w:r>
    </w:p>
    <w:p w14:paraId="3252052C" w14:textId="635310B0" w:rsidR="0072051C" w:rsidRDefault="0072051C" w:rsidP="00373901">
      <w:pPr>
        <w:pStyle w:val="Heading2"/>
        <w:rPr>
          <w:highlight w:val="white"/>
        </w:rPr>
      </w:pPr>
      <w:r w:rsidRPr="00F07E96">
        <w:rPr>
          <w:highlight w:val="white"/>
        </w:rPr>
        <w:t>Conclusion</w:t>
      </w:r>
    </w:p>
    <w:p w14:paraId="3DA32CE4" w14:textId="7B71F589" w:rsidR="00E553D3" w:rsidRDefault="002F4526" w:rsidP="0072051C">
      <w:pPr>
        <w:rPr>
          <w:highlight w:val="white"/>
        </w:rPr>
      </w:pPr>
      <w:r>
        <w:rPr>
          <w:highlight w:val="white"/>
        </w:rPr>
        <w:t>The needs of</w:t>
      </w:r>
      <w:r w:rsidR="00267C5E">
        <w:rPr>
          <w:highlight w:val="white"/>
        </w:rPr>
        <w:t xml:space="preserve"> </w:t>
      </w:r>
      <w:r>
        <w:rPr>
          <w:highlight w:val="white"/>
        </w:rPr>
        <w:t>healthcare systems during the Covid19 pandemic are rapidly evolving</w:t>
      </w:r>
      <w:r w:rsidR="009971A2">
        <w:rPr>
          <w:highlight w:val="white"/>
        </w:rPr>
        <w:t>.</w:t>
      </w:r>
      <w:r w:rsidR="00267C5E">
        <w:rPr>
          <w:highlight w:val="white"/>
        </w:rPr>
        <w:t xml:space="preserve"> </w:t>
      </w:r>
      <w:r w:rsidR="009F469B">
        <w:rPr>
          <w:highlight w:val="white"/>
        </w:rPr>
        <w:t>Remote consultations may have to rely on incomplete information in order to make appropriate decisions</w:t>
      </w:r>
      <w:r w:rsidR="0072051C">
        <w:rPr>
          <w:highlight w:val="white"/>
        </w:rPr>
        <w:t xml:space="preserve"> regarding escalation of care, both for patients with suspected Covid19 disease and other patients in primary care</w:t>
      </w:r>
      <w:r w:rsidR="009F469B">
        <w:rPr>
          <w:highlight w:val="white"/>
        </w:rPr>
        <w:t xml:space="preserve">. In the absence of oxygen saturation information, </w:t>
      </w:r>
      <w:r w:rsidR="0072051C">
        <w:rPr>
          <w:highlight w:val="white"/>
        </w:rPr>
        <w:t xml:space="preserve">the use of the Roth Score </w:t>
      </w:r>
      <w:r w:rsidR="00B352D0">
        <w:rPr>
          <w:highlight w:val="white"/>
        </w:rPr>
        <w:t>“counting time” may</w:t>
      </w:r>
      <w:r w:rsidR="0072051C">
        <w:rPr>
          <w:highlight w:val="white"/>
        </w:rPr>
        <w:t xml:space="preserve"> assist primary care </w:t>
      </w:r>
      <w:r w:rsidR="001375A5">
        <w:rPr>
          <w:highlight w:val="white"/>
        </w:rPr>
        <w:t xml:space="preserve">health workers </w:t>
      </w:r>
      <w:r w:rsidR="0072051C">
        <w:rPr>
          <w:highlight w:val="white"/>
        </w:rPr>
        <w:t>in identifying patients in need of further assessment and care.</w:t>
      </w:r>
      <w:r w:rsidR="009320C4" w:rsidRPr="00F07E96">
        <w:rPr>
          <w:highlight w:val="white"/>
        </w:rPr>
        <w:t xml:space="preserve"> </w:t>
      </w:r>
    </w:p>
    <w:p w14:paraId="37FDFC66" w14:textId="77777777" w:rsidR="00871706" w:rsidRPr="00F07E96" w:rsidRDefault="00871706" w:rsidP="002336FB">
      <w:pPr>
        <w:rPr>
          <w:b/>
          <w:color w:val="000000" w:themeColor="text1"/>
          <w:sz w:val="24"/>
          <w:szCs w:val="24"/>
          <w:highlight w:val="white"/>
        </w:rPr>
      </w:pPr>
    </w:p>
    <w:p w14:paraId="25C8992B" w14:textId="77777777" w:rsidR="00871706" w:rsidRPr="00F07E96" w:rsidRDefault="00871706" w:rsidP="002336FB">
      <w:pPr>
        <w:rPr>
          <w:b/>
          <w:color w:val="000000" w:themeColor="text1"/>
          <w:sz w:val="24"/>
          <w:szCs w:val="24"/>
          <w:highlight w:val="white"/>
        </w:rPr>
        <w:sectPr w:rsidR="00871706" w:rsidRPr="00F07E96" w:rsidSect="00210D95">
          <w:pgSz w:w="12240" w:h="15840" w:orient="landscape"/>
          <w:pgMar w:top="1440" w:right="1440" w:bottom="1440" w:left="1440" w:header="720" w:footer="720" w:gutter="0"/>
          <w:pgNumType w:start="1"/>
          <w:cols w:space="720"/>
          <w:docGrid w:linePitch="299"/>
        </w:sectPr>
      </w:pPr>
    </w:p>
    <w:tbl>
      <w:tblPr>
        <w:tblStyle w:val="TableGrid"/>
        <w:tblW w:w="13866" w:type="dxa"/>
        <w:tblLayout w:type="fixed"/>
        <w:tblLook w:val="04A0" w:firstRow="1" w:lastRow="0" w:firstColumn="1" w:lastColumn="0" w:noHBand="0" w:noVBand="1"/>
      </w:tblPr>
      <w:tblGrid>
        <w:gridCol w:w="1701"/>
        <w:gridCol w:w="2127"/>
        <w:gridCol w:w="3685"/>
        <w:gridCol w:w="2835"/>
        <w:gridCol w:w="3518"/>
      </w:tblGrid>
      <w:tr w:rsidR="00E553D3" w:rsidRPr="00F07E96" w14:paraId="339BFB62" w14:textId="77777777" w:rsidTr="00E553D3">
        <w:tc>
          <w:tcPr>
            <w:tcW w:w="13866" w:type="dxa"/>
            <w:gridSpan w:val="5"/>
            <w:tcBorders>
              <w:top w:val="nil"/>
              <w:left w:val="nil"/>
              <w:bottom w:val="single" w:sz="4" w:space="0" w:color="auto"/>
              <w:right w:val="nil"/>
            </w:tcBorders>
          </w:tcPr>
          <w:p w14:paraId="1BA8BE5F" w14:textId="77777777" w:rsidR="00E553D3" w:rsidRPr="00F07E96" w:rsidRDefault="00E553D3" w:rsidP="00EE003C">
            <w:pPr>
              <w:rPr>
                <w:b/>
                <w:color w:val="000000" w:themeColor="text1"/>
                <w:sz w:val="18"/>
                <w:szCs w:val="18"/>
                <w:highlight w:val="white"/>
              </w:rPr>
            </w:pPr>
            <w:r w:rsidRPr="00F07E96">
              <w:rPr>
                <w:b/>
                <w:color w:val="000000" w:themeColor="text1"/>
                <w:sz w:val="18"/>
                <w:szCs w:val="18"/>
                <w:highlight w:val="white"/>
              </w:rPr>
              <w:lastRenderedPageBreak/>
              <w:t>Table 1: Included studies</w:t>
            </w:r>
          </w:p>
        </w:tc>
      </w:tr>
      <w:tr w:rsidR="00D12E92" w:rsidRPr="00F07E96" w14:paraId="20EA0F66" w14:textId="77777777" w:rsidTr="00712937">
        <w:tc>
          <w:tcPr>
            <w:tcW w:w="1701" w:type="dxa"/>
            <w:tcBorders>
              <w:top w:val="single" w:sz="4" w:space="0" w:color="auto"/>
            </w:tcBorders>
          </w:tcPr>
          <w:p w14:paraId="0207B346" w14:textId="77777777" w:rsidR="00D12E92" w:rsidRPr="00F07E96" w:rsidRDefault="00D12E92" w:rsidP="00EE003C">
            <w:pPr>
              <w:rPr>
                <w:b/>
                <w:color w:val="000000" w:themeColor="text1"/>
                <w:sz w:val="18"/>
                <w:szCs w:val="18"/>
                <w:highlight w:val="white"/>
              </w:rPr>
            </w:pPr>
            <w:r w:rsidRPr="00F07E96">
              <w:rPr>
                <w:b/>
                <w:color w:val="000000" w:themeColor="text1"/>
                <w:sz w:val="18"/>
                <w:szCs w:val="18"/>
                <w:highlight w:val="white"/>
              </w:rPr>
              <w:t xml:space="preserve">Author, Journal, Year, Country </w:t>
            </w:r>
          </w:p>
        </w:tc>
        <w:tc>
          <w:tcPr>
            <w:tcW w:w="2127" w:type="dxa"/>
            <w:tcBorders>
              <w:top w:val="single" w:sz="4" w:space="0" w:color="auto"/>
            </w:tcBorders>
          </w:tcPr>
          <w:p w14:paraId="7C7541A5" w14:textId="77777777" w:rsidR="00D12E92" w:rsidRPr="00F07E96" w:rsidRDefault="00D12E92" w:rsidP="00EE003C">
            <w:pPr>
              <w:rPr>
                <w:b/>
                <w:color w:val="000000" w:themeColor="text1"/>
                <w:sz w:val="18"/>
                <w:szCs w:val="18"/>
                <w:highlight w:val="white"/>
              </w:rPr>
            </w:pPr>
            <w:r w:rsidRPr="00F07E96">
              <w:rPr>
                <w:b/>
                <w:color w:val="000000" w:themeColor="text1"/>
                <w:sz w:val="18"/>
                <w:szCs w:val="18"/>
                <w:highlight w:val="white"/>
              </w:rPr>
              <w:t>Aims/objectives, Study type</w:t>
            </w:r>
          </w:p>
        </w:tc>
        <w:tc>
          <w:tcPr>
            <w:tcW w:w="3685" w:type="dxa"/>
            <w:tcBorders>
              <w:top w:val="single" w:sz="4" w:space="0" w:color="auto"/>
            </w:tcBorders>
          </w:tcPr>
          <w:p w14:paraId="39644025" w14:textId="77777777" w:rsidR="00D12E92" w:rsidRPr="00F07E96" w:rsidRDefault="00D12E92" w:rsidP="00EE003C">
            <w:pPr>
              <w:rPr>
                <w:b/>
                <w:color w:val="000000" w:themeColor="text1"/>
                <w:sz w:val="18"/>
                <w:szCs w:val="18"/>
                <w:highlight w:val="white"/>
              </w:rPr>
            </w:pPr>
            <w:r w:rsidRPr="00F07E96">
              <w:rPr>
                <w:b/>
                <w:color w:val="000000" w:themeColor="text1"/>
                <w:sz w:val="18"/>
                <w:szCs w:val="18"/>
                <w:highlight w:val="white"/>
              </w:rPr>
              <w:t>Sampling/recruitment method, No of participants</w:t>
            </w:r>
          </w:p>
        </w:tc>
        <w:tc>
          <w:tcPr>
            <w:tcW w:w="2835" w:type="dxa"/>
            <w:tcBorders>
              <w:top w:val="single" w:sz="4" w:space="0" w:color="auto"/>
            </w:tcBorders>
          </w:tcPr>
          <w:p w14:paraId="55FD96E5" w14:textId="77777777" w:rsidR="00D12E92" w:rsidRPr="00F07E96" w:rsidRDefault="00D12E92" w:rsidP="00EE003C">
            <w:pPr>
              <w:rPr>
                <w:b/>
                <w:color w:val="000000" w:themeColor="text1"/>
                <w:sz w:val="18"/>
                <w:szCs w:val="18"/>
                <w:highlight w:val="white"/>
              </w:rPr>
            </w:pPr>
            <w:r w:rsidRPr="00F07E96">
              <w:rPr>
                <w:b/>
                <w:color w:val="000000" w:themeColor="text1"/>
                <w:sz w:val="18"/>
                <w:szCs w:val="18"/>
                <w:highlight w:val="white"/>
              </w:rPr>
              <w:t>Data collection method</w:t>
            </w:r>
          </w:p>
        </w:tc>
        <w:tc>
          <w:tcPr>
            <w:tcW w:w="3518" w:type="dxa"/>
            <w:tcBorders>
              <w:top w:val="single" w:sz="4" w:space="0" w:color="auto"/>
            </w:tcBorders>
          </w:tcPr>
          <w:p w14:paraId="7C92A5A8" w14:textId="77777777" w:rsidR="00D12E92" w:rsidRPr="00F07E96" w:rsidRDefault="00D12E92" w:rsidP="00EE003C">
            <w:pPr>
              <w:rPr>
                <w:b/>
                <w:color w:val="000000" w:themeColor="text1"/>
                <w:sz w:val="18"/>
                <w:szCs w:val="18"/>
                <w:highlight w:val="white"/>
              </w:rPr>
            </w:pPr>
            <w:r w:rsidRPr="00F07E96">
              <w:rPr>
                <w:b/>
                <w:color w:val="000000" w:themeColor="text1"/>
                <w:sz w:val="18"/>
                <w:szCs w:val="18"/>
                <w:highlight w:val="white"/>
              </w:rPr>
              <w:t>Main Findings</w:t>
            </w:r>
          </w:p>
        </w:tc>
      </w:tr>
      <w:tr w:rsidR="00210D95" w:rsidRPr="00F07E96" w14:paraId="0ECB1282" w14:textId="77777777" w:rsidTr="00712937">
        <w:tc>
          <w:tcPr>
            <w:tcW w:w="1701" w:type="dxa"/>
          </w:tcPr>
          <w:p w14:paraId="4E5D8F26" w14:textId="280DB7A7" w:rsidR="00C110BA" w:rsidRPr="00F07E96" w:rsidRDefault="00101314" w:rsidP="002336FB">
            <w:pPr>
              <w:rPr>
                <w:iCs/>
                <w:color w:val="000000" w:themeColor="text1"/>
                <w:sz w:val="18"/>
                <w:szCs w:val="18"/>
                <w:highlight w:val="white"/>
              </w:rPr>
            </w:pPr>
            <w:proofErr w:type="spellStart"/>
            <w:r w:rsidRPr="00F07E96">
              <w:rPr>
                <w:iCs/>
                <w:color w:val="000000" w:themeColor="text1"/>
                <w:sz w:val="18"/>
                <w:szCs w:val="18"/>
                <w:highlight w:val="white"/>
              </w:rPr>
              <w:t>Chorin</w:t>
            </w:r>
            <w:proofErr w:type="spellEnd"/>
            <w:r w:rsidRPr="00F07E96">
              <w:rPr>
                <w:iCs/>
                <w:color w:val="000000" w:themeColor="text1"/>
                <w:sz w:val="18"/>
                <w:szCs w:val="18"/>
                <w:highlight w:val="white"/>
              </w:rPr>
              <w:t xml:space="preserve"> E, </w:t>
            </w:r>
            <w:proofErr w:type="spellStart"/>
            <w:r w:rsidRPr="00F07E96">
              <w:rPr>
                <w:iCs/>
                <w:color w:val="000000" w:themeColor="text1"/>
                <w:sz w:val="18"/>
                <w:szCs w:val="18"/>
                <w:highlight w:val="white"/>
              </w:rPr>
              <w:t>Padegimas</w:t>
            </w:r>
            <w:proofErr w:type="spellEnd"/>
            <w:r w:rsidRPr="00F07E96">
              <w:rPr>
                <w:iCs/>
                <w:color w:val="000000" w:themeColor="text1"/>
                <w:sz w:val="18"/>
                <w:szCs w:val="18"/>
                <w:highlight w:val="white"/>
              </w:rPr>
              <w:t xml:space="preserve"> A, </w:t>
            </w:r>
            <w:proofErr w:type="spellStart"/>
            <w:r w:rsidRPr="00F07E96">
              <w:rPr>
                <w:iCs/>
                <w:color w:val="000000" w:themeColor="text1"/>
                <w:sz w:val="18"/>
                <w:szCs w:val="18"/>
                <w:highlight w:val="white"/>
              </w:rPr>
              <w:t>Havakuk</w:t>
            </w:r>
            <w:proofErr w:type="spellEnd"/>
            <w:r w:rsidRPr="00F07E96">
              <w:rPr>
                <w:iCs/>
                <w:color w:val="000000" w:themeColor="text1"/>
                <w:sz w:val="18"/>
                <w:szCs w:val="18"/>
                <w:highlight w:val="white"/>
              </w:rPr>
              <w:t xml:space="preserve"> O, et al. Assessment of Respiratory Distress by the Roth Score. </w:t>
            </w:r>
            <w:proofErr w:type="spellStart"/>
            <w:r w:rsidRPr="00F07E96">
              <w:rPr>
                <w:iCs/>
                <w:color w:val="000000" w:themeColor="text1"/>
                <w:sz w:val="18"/>
                <w:szCs w:val="18"/>
                <w:highlight w:val="white"/>
              </w:rPr>
              <w:t>Clin</w:t>
            </w:r>
            <w:proofErr w:type="spellEnd"/>
            <w:r w:rsidRPr="00F07E96">
              <w:rPr>
                <w:iCs/>
                <w:color w:val="000000" w:themeColor="text1"/>
                <w:sz w:val="18"/>
                <w:szCs w:val="18"/>
                <w:highlight w:val="white"/>
              </w:rPr>
              <w:t xml:space="preserve"> </w:t>
            </w:r>
            <w:proofErr w:type="spellStart"/>
            <w:r w:rsidRPr="00F07E96">
              <w:rPr>
                <w:iCs/>
                <w:color w:val="000000" w:themeColor="text1"/>
                <w:sz w:val="18"/>
                <w:szCs w:val="18"/>
                <w:highlight w:val="white"/>
              </w:rPr>
              <w:t>Cardiol</w:t>
            </w:r>
            <w:proofErr w:type="spellEnd"/>
            <w:r w:rsidR="00A4795A">
              <w:rPr>
                <w:iCs/>
                <w:color w:val="000000" w:themeColor="text1"/>
                <w:sz w:val="18"/>
                <w:szCs w:val="18"/>
                <w:highlight w:val="white"/>
              </w:rPr>
              <w:t xml:space="preserve"> </w:t>
            </w:r>
            <w:proofErr w:type="gramStart"/>
            <w:r w:rsidRPr="00F07E96">
              <w:rPr>
                <w:iCs/>
                <w:color w:val="000000" w:themeColor="text1"/>
                <w:sz w:val="18"/>
                <w:szCs w:val="18"/>
                <w:highlight w:val="white"/>
              </w:rPr>
              <w:t>2016;39:636</w:t>
            </w:r>
            <w:proofErr w:type="gramEnd"/>
            <w:r w:rsidRPr="00F07E96">
              <w:rPr>
                <w:iCs/>
                <w:color w:val="000000" w:themeColor="text1"/>
                <w:sz w:val="18"/>
                <w:szCs w:val="18"/>
                <w:highlight w:val="white"/>
              </w:rPr>
              <w:t>–9. Israel</w:t>
            </w:r>
          </w:p>
        </w:tc>
        <w:tc>
          <w:tcPr>
            <w:tcW w:w="2127" w:type="dxa"/>
          </w:tcPr>
          <w:p w14:paraId="74F13E53" w14:textId="7BF47AA7" w:rsidR="00F12F0F" w:rsidRDefault="009971A2" w:rsidP="002336FB">
            <w:pPr>
              <w:rPr>
                <w:color w:val="000000" w:themeColor="text1"/>
                <w:sz w:val="18"/>
                <w:szCs w:val="18"/>
                <w:highlight w:val="white"/>
              </w:rPr>
            </w:pPr>
            <w:r>
              <w:rPr>
                <w:color w:val="000000" w:themeColor="text1"/>
                <w:sz w:val="18"/>
                <w:szCs w:val="18"/>
                <w:highlight w:val="white"/>
              </w:rPr>
              <w:t>V</w:t>
            </w:r>
            <w:r w:rsidR="00F12F0F" w:rsidRPr="00F07E96">
              <w:rPr>
                <w:color w:val="000000" w:themeColor="text1"/>
                <w:sz w:val="18"/>
                <w:szCs w:val="18"/>
                <w:highlight w:val="white"/>
              </w:rPr>
              <w:t>alidation study for a novel scoring method against pulse oximetry</w:t>
            </w:r>
          </w:p>
          <w:p w14:paraId="7F131483" w14:textId="4FB40528" w:rsidR="00C110BA" w:rsidRPr="00F07E96" w:rsidRDefault="00101314" w:rsidP="002336FB">
            <w:pPr>
              <w:rPr>
                <w:color w:val="000000" w:themeColor="text1"/>
                <w:sz w:val="18"/>
                <w:szCs w:val="18"/>
                <w:highlight w:val="white"/>
              </w:rPr>
            </w:pPr>
            <w:r w:rsidRPr="00F07E96">
              <w:rPr>
                <w:color w:val="000000" w:themeColor="text1"/>
                <w:sz w:val="18"/>
                <w:szCs w:val="18"/>
                <w:highlight w:val="white"/>
              </w:rPr>
              <w:t xml:space="preserve">“This study introduces an index called the Roth score as a tool that uses patient counting times to accurately risk-stratify </w:t>
            </w:r>
            <w:proofErr w:type="spellStart"/>
            <w:r w:rsidRPr="00F07E96">
              <w:rPr>
                <w:color w:val="000000" w:themeColor="text1"/>
                <w:sz w:val="18"/>
                <w:szCs w:val="18"/>
                <w:highlight w:val="white"/>
              </w:rPr>
              <w:t>dyspnea</w:t>
            </w:r>
            <w:proofErr w:type="spellEnd"/>
            <w:r w:rsidRPr="00F07E96">
              <w:rPr>
                <w:color w:val="000000" w:themeColor="text1"/>
                <w:sz w:val="18"/>
                <w:szCs w:val="18"/>
                <w:highlight w:val="white"/>
              </w:rPr>
              <w:t xml:space="preserve"> severity in terms of hypoxia.”</w:t>
            </w:r>
          </w:p>
        </w:tc>
        <w:tc>
          <w:tcPr>
            <w:tcW w:w="3685" w:type="dxa"/>
          </w:tcPr>
          <w:p w14:paraId="1A06DEE7" w14:textId="7F3738E8" w:rsidR="00C110BA" w:rsidRPr="00F07E96" w:rsidRDefault="00101314" w:rsidP="002336FB">
            <w:pPr>
              <w:rPr>
                <w:color w:val="000000" w:themeColor="text1"/>
                <w:sz w:val="18"/>
                <w:szCs w:val="18"/>
                <w:highlight w:val="white"/>
              </w:rPr>
            </w:pPr>
            <w:r w:rsidRPr="00F07E96">
              <w:rPr>
                <w:color w:val="000000" w:themeColor="text1"/>
                <w:sz w:val="18"/>
                <w:szCs w:val="18"/>
                <w:highlight w:val="white"/>
              </w:rPr>
              <w:t>The study recruited patients admitted to a cardiac care centre in Tel Aviv. “Inclusion criteria included pulse oximetry on room air requiring 2 L to 6 L nasal cannula oxygen to maintain oxygen saturation &gt;92%. Exclusion criteria included hypoxia requiring advanced non</w:t>
            </w:r>
            <w:r w:rsidR="00976925">
              <w:rPr>
                <w:color w:val="000000" w:themeColor="text1"/>
                <w:sz w:val="18"/>
                <w:szCs w:val="18"/>
                <w:highlight w:val="white"/>
              </w:rPr>
              <w:t>-</w:t>
            </w:r>
            <w:r w:rsidRPr="00F07E96">
              <w:rPr>
                <w:color w:val="000000" w:themeColor="text1"/>
                <w:sz w:val="18"/>
                <w:szCs w:val="18"/>
                <w:highlight w:val="white"/>
              </w:rPr>
              <w:t>invasive or invasive oxygenation.”</w:t>
            </w:r>
          </w:p>
          <w:p w14:paraId="14A1FA65" w14:textId="77777777" w:rsidR="00C110BA" w:rsidRPr="00F07E96" w:rsidRDefault="00101314" w:rsidP="002336FB">
            <w:pPr>
              <w:rPr>
                <w:color w:val="000000" w:themeColor="text1"/>
                <w:sz w:val="18"/>
                <w:szCs w:val="18"/>
                <w:highlight w:val="white"/>
              </w:rPr>
            </w:pPr>
            <w:r w:rsidRPr="00F07E96">
              <w:rPr>
                <w:color w:val="000000" w:themeColor="text1"/>
                <w:sz w:val="18"/>
                <w:szCs w:val="18"/>
                <w:highlight w:val="white"/>
              </w:rPr>
              <w:t>“The patient group consists of 93 individuals (53 males and 40 females) with mean age of 76 +/- 13 years</w:t>
            </w:r>
            <w:r w:rsidR="00D01D49" w:rsidRPr="00F07E96">
              <w:rPr>
                <w:color w:val="000000" w:themeColor="text1"/>
                <w:sz w:val="18"/>
                <w:szCs w:val="18"/>
                <w:highlight w:val="white"/>
              </w:rPr>
              <w:t>.” “[A]</w:t>
            </w:r>
            <w:proofErr w:type="spellStart"/>
            <w:r w:rsidRPr="00F07E96">
              <w:rPr>
                <w:color w:val="000000" w:themeColor="text1"/>
                <w:sz w:val="18"/>
                <w:szCs w:val="18"/>
                <w:highlight w:val="white"/>
              </w:rPr>
              <w:t>dmission</w:t>
            </w:r>
            <w:proofErr w:type="spellEnd"/>
            <w:r w:rsidRPr="00F07E96">
              <w:rPr>
                <w:color w:val="000000" w:themeColor="text1"/>
                <w:sz w:val="18"/>
                <w:szCs w:val="18"/>
                <w:highlight w:val="white"/>
              </w:rPr>
              <w:t xml:space="preserve"> diagnoses were congestive heart failure exacerbation (25%), pneumonia (17%), and acute coronary syndrome (15%);</w:t>
            </w:r>
            <w:r w:rsidR="00D01D49" w:rsidRPr="00F07E96">
              <w:rPr>
                <w:color w:val="000000" w:themeColor="text1"/>
                <w:sz w:val="18"/>
                <w:szCs w:val="18"/>
                <w:highlight w:val="white"/>
              </w:rPr>
              <w:t>”</w:t>
            </w:r>
          </w:p>
          <w:p w14:paraId="250FAA31" w14:textId="77777777" w:rsidR="00C110BA" w:rsidRPr="00F07E96" w:rsidRDefault="00101314" w:rsidP="002336FB">
            <w:pPr>
              <w:rPr>
                <w:color w:val="000000" w:themeColor="text1"/>
                <w:sz w:val="18"/>
                <w:szCs w:val="18"/>
                <w:highlight w:val="white"/>
              </w:rPr>
            </w:pPr>
            <w:r w:rsidRPr="00F07E96">
              <w:rPr>
                <w:color w:val="000000" w:themeColor="text1"/>
                <w:sz w:val="18"/>
                <w:szCs w:val="18"/>
                <w:highlight w:val="white"/>
              </w:rPr>
              <w:t>The control group were 103 healthy volunteers (64 males and 39 females) with mean age of 56 +/- 18 years.</w:t>
            </w:r>
          </w:p>
        </w:tc>
        <w:tc>
          <w:tcPr>
            <w:tcW w:w="2835" w:type="dxa"/>
          </w:tcPr>
          <w:p w14:paraId="0E6E1B6E" w14:textId="77777777" w:rsidR="00C110BA" w:rsidRDefault="00101314" w:rsidP="002336FB">
            <w:pPr>
              <w:rPr>
                <w:color w:val="000000" w:themeColor="text1"/>
                <w:sz w:val="18"/>
                <w:szCs w:val="18"/>
                <w:highlight w:val="white"/>
              </w:rPr>
            </w:pPr>
            <w:r w:rsidRPr="00F07E96">
              <w:rPr>
                <w:color w:val="000000" w:themeColor="text1"/>
                <w:sz w:val="18"/>
                <w:szCs w:val="18"/>
                <w:highlight w:val="white"/>
              </w:rPr>
              <w:t>“This score is measured by requesting that the patients take a deep breath followed by counting out loud from 1 to 30 in their native language, in a single breath, as rapidly as possible. The time duration was measured on a stopwatch in seconds from number 1 until the highest number reached. The test was repeated after the subject had taken 3 deep breaths. The result of the Roth score includes 2 measurements: (1) the duration of time elapsed between counting from 1 to 30 in 1 breath, or until the patient took another breath; and (2) the highest number reached in 1 breath. The subjects’ respiratory rate and pulse oximetry on room air were recorded as markers of respiratory distress to evaluate for correlation with their Roth scores.”</w:t>
            </w:r>
          </w:p>
          <w:p w14:paraId="6500E7CD" w14:textId="53720190" w:rsidR="003A58BC" w:rsidRPr="00F07E96" w:rsidRDefault="003A58BC" w:rsidP="002336FB">
            <w:pPr>
              <w:rPr>
                <w:color w:val="000000" w:themeColor="text1"/>
                <w:sz w:val="18"/>
                <w:szCs w:val="18"/>
                <w:highlight w:val="white"/>
              </w:rPr>
            </w:pPr>
            <w:r>
              <w:rPr>
                <w:color w:val="000000" w:themeColor="text1"/>
                <w:sz w:val="18"/>
                <w:szCs w:val="18"/>
                <w:highlight w:val="white"/>
              </w:rPr>
              <w:t xml:space="preserve">The participants counted in Hebrew, Arabic, Russian and English </w:t>
            </w:r>
            <w:r w:rsidR="00345959">
              <w:rPr>
                <w:color w:val="000000" w:themeColor="text1"/>
                <w:sz w:val="18"/>
                <w:szCs w:val="18"/>
                <w:highlight w:val="white"/>
              </w:rPr>
              <w:t>and it appears that the averages have been recorded.</w:t>
            </w:r>
          </w:p>
        </w:tc>
        <w:tc>
          <w:tcPr>
            <w:tcW w:w="3518" w:type="dxa"/>
          </w:tcPr>
          <w:p w14:paraId="75FE0927" w14:textId="5637B639" w:rsidR="00345959" w:rsidRDefault="00345959" w:rsidP="002336FB">
            <w:pPr>
              <w:rPr>
                <w:color w:val="000000" w:themeColor="text1"/>
                <w:sz w:val="18"/>
                <w:szCs w:val="18"/>
                <w:highlight w:val="white"/>
              </w:rPr>
            </w:pPr>
            <w:r>
              <w:rPr>
                <w:color w:val="000000" w:themeColor="text1"/>
                <w:sz w:val="18"/>
                <w:szCs w:val="18"/>
                <w:highlight w:val="white"/>
              </w:rPr>
              <w:t>(See table 4)</w:t>
            </w:r>
          </w:p>
          <w:p w14:paraId="3564C591" w14:textId="0F7426B8" w:rsidR="003A58BC" w:rsidRDefault="003A58BC" w:rsidP="002336FB">
            <w:pPr>
              <w:rPr>
                <w:color w:val="000000" w:themeColor="text1"/>
                <w:sz w:val="18"/>
                <w:szCs w:val="18"/>
                <w:highlight w:val="white"/>
              </w:rPr>
            </w:pPr>
            <w:r>
              <w:rPr>
                <w:color w:val="000000" w:themeColor="text1"/>
                <w:sz w:val="18"/>
                <w:szCs w:val="18"/>
                <w:highlight w:val="white"/>
              </w:rPr>
              <w:t>“</w:t>
            </w:r>
            <w:r w:rsidRPr="003A58BC">
              <w:rPr>
                <w:color w:val="000000" w:themeColor="text1"/>
                <w:sz w:val="18"/>
                <w:szCs w:val="18"/>
              </w:rPr>
              <w:t>There is a positive strong correlation between the pulse oximetry measurement on room air and both the maximal count achieved in 1 breath (r = 0.67; P &lt; 0.001) and the counting time (r = 0.59; P &lt; 0.001</w:t>
            </w:r>
            <w:r>
              <w:rPr>
                <w:color w:val="000000" w:themeColor="text1"/>
                <w:sz w:val="18"/>
                <w:szCs w:val="18"/>
              </w:rPr>
              <w:t xml:space="preserve">). </w:t>
            </w:r>
            <w:r w:rsidRPr="003A58BC">
              <w:rPr>
                <w:color w:val="000000" w:themeColor="text1"/>
                <w:sz w:val="18"/>
                <w:szCs w:val="18"/>
              </w:rPr>
              <w:t>All individuals in the control group counted to at least 15 in 1 breath, and 97 (94%) counted to at least 20</w:t>
            </w:r>
            <w:r>
              <w:rPr>
                <w:color w:val="000000" w:themeColor="text1"/>
                <w:sz w:val="18"/>
                <w:szCs w:val="18"/>
              </w:rPr>
              <w:t>”</w:t>
            </w:r>
          </w:p>
          <w:p w14:paraId="6EC980AE" w14:textId="42118694" w:rsidR="00C110BA" w:rsidRPr="00F07E96" w:rsidRDefault="00101314" w:rsidP="002336FB">
            <w:pPr>
              <w:rPr>
                <w:color w:val="000000" w:themeColor="text1"/>
                <w:sz w:val="18"/>
                <w:szCs w:val="18"/>
                <w:highlight w:val="white"/>
              </w:rPr>
            </w:pPr>
            <w:r w:rsidRPr="00F07E96">
              <w:rPr>
                <w:color w:val="000000" w:themeColor="text1"/>
                <w:sz w:val="18"/>
                <w:szCs w:val="18"/>
                <w:highlight w:val="white"/>
              </w:rPr>
              <w:t>The scores plotted on a receiver operating characteristics (ROC) curve and the AUC was calculated:</w:t>
            </w:r>
          </w:p>
          <w:p w14:paraId="435A91EA" w14:textId="07697FBE" w:rsidR="00C110BA" w:rsidRPr="00F07E96" w:rsidRDefault="00D12E92" w:rsidP="002336FB">
            <w:pPr>
              <w:rPr>
                <w:color w:val="000000" w:themeColor="text1"/>
                <w:sz w:val="18"/>
                <w:szCs w:val="18"/>
                <w:highlight w:val="white"/>
              </w:rPr>
            </w:pPr>
            <w:r w:rsidRPr="00F07E96">
              <w:rPr>
                <w:color w:val="000000" w:themeColor="text1"/>
                <w:sz w:val="18"/>
                <w:szCs w:val="18"/>
                <w:highlight w:val="white"/>
              </w:rPr>
              <w:t xml:space="preserve"> </w:t>
            </w:r>
            <w:r w:rsidR="00101314" w:rsidRPr="00F07E96">
              <w:rPr>
                <w:color w:val="000000" w:themeColor="text1"/>
                <w:sz w:val="18"/>
                <w:szCs w:val="18"/>
                <w:highlight w:val="white"/>
              </w:rPr>
              <w:t>“Counting time &gt;8 (sic)</w:t>
            </w:r>
            <w:r w:rsidR="003A58BC">
              <w:rPr>
                <w:color w:val="000000" w:themeColor="text1"/>
                <w:sz w:val="18"/>
                <w:szCs w:val="18"/>
                <w:highlight w:val="white"/>
              </w:rPr>
              <w:t>*</w:t>
            </w:r>
            <w:r w:rsidR="00101314" w:rsidRPr="00F07E96">
              <w:rPr>
                <w:color w:val="000000" w:themeColor="text1"/>
                <w:sz w:val="18"/>
                <w:szCs w:val="18"/>
                <w:highlight w:val="white"/>
              </w:rPr>
              <w:t xml:space="preserve"> seconds had a sensitivity of 78% and specificity of 71% for identifying a room-air pulse oximetry &lt;95%. For identifying oxygen</w:t>
            </w:r>
            <w:r w:rsidRPr="00F07E96">
              <w:rPr>
                <w:color w:val="000000" w:themeColor="text1"/>
                <w:sz w:val="18"/>
                <w:szCs w:val="18"/>
                <w:highlight w:val="white"/>
              </w:rPr>
              <w:t xml:space="preserve"> </w:t>
            </w:r>
            <w:r w:rsidR="00101314" w:rsidRPr="00F07E96">
              <w:rPr>
                <w:color w:val="000000" w:themeColor="text1"/>
                <w:sz w:val="18"/>
                <w:szCs w:val="18"/>
                <w:highlight w:val="white"/>
              </w:rPr>
              <w:t xml:space="preserve">saturation &lt;90%, the AUC for maximal count number is 0.843 and for count time is 0.812” </w:t>
            </w:r>
          </w:p>
          <w:p w14:paraId="049C9DD8" w14:textId="48597AA9" w:rsidR="00C110BA" w:rsidRPr="00F07E96" w:rsidRDefault="003A58BC" w:rsidP="002336FB">
            <w:pPr>
              <w:rPr>
                <w:color w:val="000000" w:themeColor="text1"/>
                <w:sz w:val="18"/>
                <w:szCs w:val="18"/>
                <w:highlight w:val="white"/>
              </w:rPr>
            </w:pPr>
            <w:r>
              <w:rPr>
                <w:color w:val="000000" w:themeColor="text1"/>
                <w:sz w:val="18"/>
                <w:szCs w:val="18"/>
                <w:highlight w:val="white"/>
              </w:rPr>
              <w:t xml:space="preserve">*: </w:t>
            </w:r>
            <w:r w:rsidR="00101314" w:rsidRPr="00F07E96">
              <w:rPr>
                <w:color w:val="000000" w:themeColor="text1"/>
                <w:sz w:val="18"/>
                <w:szCs w:val="18"/>
                <w:highlight w:val="white"/>
              </w:rPr>
              <w:t>(The sentence should have read “&lt;8 seconds”)</w:t>
            </w:r>
          </w:p>
          <w:p w14:paraId="07602729" w14:textId="77777777" w:rsidR="00C110BA" w:rsidRPr="00F07E96" w:rsidRDefault="00101314" w:rsidP="002336FB">
            <w:pPr>
              <w:rPr>
                <w:color w:val="000000" w:themeColor="text1"/>
                <w:sz w:val="18"/>
                <w:szCs w:val="18"/>
                <w:highlight w:val="white"/>
              </w:rPr>
            </w:pPr>
            <w:r w:rsidRPr="00F07E96">
              <w:rPr>
                <w:color w:val="000000" w:themeColor="text1"/>
                <w:sz w:val="18"/>
                <w:szCs w:val="18"/>
                <w:highlight w:val="white"/>
              </w:rPr>
              <w:t xml:space="preserve">“Maximal counting number &lt;10 or counting time &lt;7 seconds identified patients with a room-air pulse oximetry &lt;95% with sensitivity of 91% and 83%, respectively. Maximal counting number &lt;7 or counting time &lt;5 seconds identified patients with a room-air pulse oximetry &lt;90% with sensitivity of 87% and 82%, respectively.” </w:t>
            </w:r>
          </w:p>
        </w:tc>
      </w:tr>
    </w:tbl>
    <w:p w14:paraId="410332B6" w14:textId="77777777" w:rsidR="002A0129" w:rsidRDefault="002A0129" w:rsidP="002336FB">
      <w:pPr>
        <w:rPr>
          <w:rFonts w:eastAsia="Roboto"/>
          <w:color w:val="000000" w:themeColor="text1"/>
          <w:sz w:val="18"/>
          <w:szCs w:val="18"/>
          <w:highlight w:val="white"/>
        </w:rPr>
        <w:sectPr w:rsidR="002A0129" w:rsidSect="00D12E92">
          <w:pgSz w:w="15840" w:h="12240"/>
          <w:pgMar w:top="720" w:right="720" w:bottom="720" w:left="720" w:header="720" w:footer="720" w:gutter="0"/>
          <w:cols w:space="720" w:equalWidth="0">
            <w:col w:w="10080"/>
          </w:cols>
          <w:docGrid w:linePitch="299"/>
        </w:sectPr>
      </w:pPr>
      <w:bookmarkStart w:id="1" w:name="_5erfi042dt4h" w:colFirst="0" w:colLast="0"/>
      <w:bookmarkEnd w:id="1"/>
    </w:p>
    <w:p w14:paraId="4547B604" w14:textId="468C4D09" w:rsidR="00345959" w:rsidRDefault="00345959" w:rsidP="00A2689E">
      <w:pPr>
        <w:rPr>
          <w:b/>
          <w:color w:val="000000" w:themeColor="text1"/>
          <w:sz w:val="18"/>
          <w:szCs w:val="18"/>
          <w:highlight w:val="white"/>
        </w:rPr>
      </w:pPr>
      <w:r w:rsidRPr="00F07E96">
        <w:rPr>
          <w:b/>
          <w:color w:val="000000" w:themeColor="text1"/>
          <w:sz w:val="18"/>
          <w:szCs w:val="18"/>
          <w:highlight w:val="white"/>
        </w:rPr>
        <w:lastRenderedPageBreak/>
        <w:t>Table 1: Included studies</w:t>
      </w:r>
      <w:r>
        <w:rPr>
          <w:b/>
          <w:color w:val="000000" w:themeColor="text1"/>
          <w:sz w:val="18"/>
          <w:szCs w:val="18"/>
          <w:highlight w:val="white"/>
        </w:rPr>
        <w:t xml:space="preserve"> (continued)</w:t>
      </w:r>
    </w:p>
    <w:tbl>
      <w:tblPr>
        <w:tblStyle w:val="TableGrid"/>
        <w:tblW w:w="13866" w:type="dxa"/>
        <w:tblInd w:w="-5" w:type="dxa"/>
        <w:tblLayout w:type="fixed"/>
        <w:tblLook w:val="04A0" w:firstRow="1" w:lastRow="0" w:firstColumn="1" w:lastColumn="0" w:noHBand="0" w:noVBand="1"/>
      </w:tblPr>
      <w:tblGrid>
        <w:gridCol w:w="1701"/>
        <w:gridCol w:w="2127"/>
        <w:gridCol w:w="3685"/>
        <w:gridCol w:w="2835"/>
        <w:gridCol w:w="3518"/>
      </w:tblGrid>
      <w:tr w:rsidR="00345959" w:rsidRPr="00F07E96" w14:paraId="0F03F5D2" w14:textId="77777777" w:rsidTr="00DB39F5">
        <w:tc>
          <w:tcPr>
            <w:tcW w:w="1701" w:type="dxa"/>
          </w:tcPr>
          <w:p w14:paraId="6B1E939D" w14:textId="77777777" w:rsidR="00345959" w:rsidRPr="00F07E96" w:rsidRDefault="00345959" w:rsidP="00DB39F5">
            <w:pPr>
              <w:rPr>
                <w:rFonts w:eastAsia="Roboto"/>
                <w:color w:val="000000" w:themeColor="text1"/>
                <w:sz w:val="18"/>
                <w:szCs w:val="18"/>
                <w:highlight w:val="white"/>
              </w:rPr>
            </w:pPr>
            <w:proofErr w:type="spellStart"/>
            <w:proofErr w:type="gramStart"/>
            <w:r w:rsidRPr="00F07E96">
              <w:rPr>
                <w:b/>
                <w:color w:val="000000" w:themeColor="text1"/>
                <w:sz w:val="18"/>
                <w:szCs w:val="18"/>
                <w:highlight w:val="white"/>
              </w:rPr>
              <w:t>Author,</w:t>
            </w:r>
            <w:r>
              <w:rPr>
                <w:b/>
                <w:color w:val="000000" w:themeColor="text1"/>
                <w:sz w:val="18"/>
                <w:szCs w:val="18"/>
                <w:highlight w:val="white"/>
              </w:rPr>
              <w:t>Title</w:t>
            </w:r>
            <w:proofErr w:type="spellEnd"/>
            <w:proofErr w:type="gramEnd"/>
            <w:r>
              <w:rPr>
                <w:b/>
                <w:color w:val="000000" w:themeColor="text1"/>
                <w:sz w:val="18"/>
                <w:szCs w:val="18"/>
                <w:highlight w:val="white"/>
              </w:rPr>
              <w:t>,</w:t>
            </w:r>
            <w:r w:rsidRPr="00F07E96">
              <w:rPr>
                <w:b/>
                <w:color w:val="000000" w:themeColor="text1"/>
                <w:sz w:val="18"/>
                <w:szCs w:val="18"/>
                <w:highlight w:val="white"/>
              </w:rPr>
              <w:t xml:space="preserve"> Journal, Year, Country </w:t>
            </w:r>
          </w:p>
        </w:tc>
        <w:tc>
          <w:tcPr>
            <w:tcW w:w="2127" w:type="dxa"/>
          </w:tcPr>
          <w:p w14:paraId="0F11D7EA" w14:textId="77777777" w:rsidR="00345959" w:rsidRPr="00F07E96" w:rsidRDefault="00345959" w:rsidP="00DB39F5">
            <w:pPr>
              <w:rPr>
                <w:rFonts w:eastAsia="Roboto"/>
                <w:color w:val="000000" w:themeColor="text1"/>
                <w:sz w:val="18"/>
                <w:szCs w:val="18"/>
                <w:highlight w:val="white"/>
              </w:rPr>
            </w:pPr>
            <w:r w:rsidRPr="00F07E96">
              <w:rPr>
                <w:b/>
                <w:color w:val="000000" w:themeColor="text1"/>
                <w:sz w:val="18"/>
                <w:szCs w:val="18"/>
                <w:highlight w:val="white"/>
              </w:rPr>
              <w:t>Aims/objectives, Study type</w:t>
            </w:r>
          </w:p>
        </w:tc>
        <w:tc>
          <w:tcPr>
            <w:tcW w:w="3685" w:type="dxa"/>
          </w:tcPr>
          <w:p w14:paraId="3A94D272" w14:textId="77777777" w:rsidR="00345959" w:rsidRPr="00F07E96" w:rsidRDefault="00345959" w:rsidP="00DB39F5">
            <w:pPr>
              <w:rPr>
                <w:color w:val="000000" w:themeColor="text1"/>
                <w:sz w:val="18"/>
                <w:szCs w:val="18"/>
                <w:highlight w:val="white"/>
              </w:rPr>
            </w:pPr>
            <w:r w:rsidRPr="00F07E96">
              <w:rPr>
                <w:b/>
                <w:color w:val="000000" w:themeColor="text1"/>
                <w:sz w:val="18"/>
                <w:szCs w:val="18"/>
                <w:highlight w:val="white"/>
              </w:rPr>
              <w:t>Sampling/recruitment method, No of participants</w:t>
            </w:r>
          </w:p>
        </w:tc>
        <w:tc>
          <w:tcPr>
            <w:tcW w:w="2835" w:type="dxa"/>
          </w:tcPr>
          <w:p w14:paraId="7A5A4038" w14:textId="77777777" w:rsidR="00345959" w:rsidRPr="00F07E96" w:rsidRDefault="00345959" w:rsidP="00DB39F5">
            <w:pPr>
              <w:rPr>
                <w:rFonts w:eastAsia="Roboto"/>
                <w:color w:val="000000" w:themeColor="text1"/>
                <w:sz w:val="18"/>
                <w:szCs w:val="18"/>
                <w:highlight w:val="white"/>
              </w:rPr>
            </w:pPr>
            <w:r w:rsidRPr="00F07E96">
              <w:rPr>
                <w:b/>
                <w:color w:val="000000" w:themeColor="text1"/>
                <w:sz w:val="18"/>
                <w:szCs w:val="18"/>
                <w:highlight w:val="white"/>
              </w:rPr>
              <w:t>Data collection method</w:t>
            </w:r>
          </w:p>
        </w:tc>
        <w:tc>
          <w:tcPr>
            <w:tcW w:w="3518" w:type="dxa"/>
          </w:tcPr>
          <w:p w14:paraId="735E9841" w14:textId="77777777" w:rsidR="00345959" w:rsidRPr="00F07E96" w:rsidRDefault="00345959" w:rsidP="00DB39F5">
            <w:pPr>
              <w:rPr>
                <w:rFonts w:eastAsia="Roboto"/>
                <w:color w:val="000000" w:themeColor="text1"/>
                <w:sz w:val="18"/>
                <w:szCs w:val="18"/>
                <w:highlight w:val="white"/>
              </w:rPr>
            </w:pPr>
            <w:r w:rsidRPr="00F07E96">
              <w:rPr>
                <w:b/>
                <w:color w:val="000000" w:themeColor="text1"/>
                <w:sz w:val="18"/>
                <w:szCs w:val="18"/>
                <w:highlight w:val="white"/>
              </w:rPr>
              <w:t>Main Findings</w:t>
            </w:r>
          </w:p>
        </w:tc>
      </w:tr>
      <w:tr w:rsidR="00345959" w:rsidRPr="00F07E96" w14:paraId="2AB396B5" w14:textId="77777777" w:rsidTr="00DB39F5">
        <w:tc>
          <w:tcPr>
            <w:tcW w:w="1701" w:type="dxa"/>
          </w:tcPr>
          <w:p w14:paraId="25FA24AD" w14:textId="77777777" w:rsidR="00345959" w:rsidRPr="00A36323" w:rsidRDefault="00345959" w:rsidP="00DB39F5">
            <w:pPr>
              <w:rPr>
                <w:rFonts w:eastAsia="Roboto"/>
                <w:color w:val="000000" w:themeColor="text1"/>
                <w:sz w:val="18"/>
                <w:szCs w:val="18"/>
                <w:highlight w:val="white"/>
              </w:rPr>
            </w:pPr>
            <w:r w:rsidRPr="00A36323">
              <w:rPr>
                <w:rFonts w:eastAsia="Roboto"/>
                <w:color w:val="000000" w:themeColor="text1"/>
                <w:sz w:val="18"/>
                <w:szCs w:val="18"/>
                <w:highlight w:val="white"/>
              </w:rPr>
              <w:t xml:space="preserve">Sarah Tomlinson, Sydney </w:t>
            </w:r>
            <w:proofErr w:type="spellStart"/>
            <w:r w:rsidRPr="00A36323">
              <w:rPr>
                <w:rFonts w:eastAsia="Roboto"/>
                <w:color w:val="000000" w:themeColor="text1"/>
                <w:sz w:val="18"/>
                <w:szCs w:val="18"/>
                <w:highlight w:val="white"/>
              </w:rPr>
              <w:t>Behrmann</w:t>
            </w:r>
            <w:proofErr w:type="spellEnd"/>
            <w:r w:rsidRPr="00E465AA">
              <w:rPr>
                <w:rFonts w:eastAsia="Roboto"/>
                <w:color w:val="000000" w:themeColor="text1"/>
                <w:sz w:val="18"/>
                <w:szCs w:val="18"/>
                <w:highlight w:val="white"/>
              </w:rPr>
              <w:t xml:space="preserve">, James Cranford, Marisa Louie, and Andrew </w:t>
            </w:r>
            <w:proofErr w:type="spellStart"/>
            <w:r w:rsidRPr="00E465AA">
              <w:rPr>
                <w:rFonts w:eastAsia="Roboto"/>
                <w:color w:val="000000" w:themeColor="text1"/>
                <w:sz w:val="18"/>
                <w:szCs w:val="18"/>
                <w:highlight w:val="white"/>
              </w:rPr>
              <w:t>Hashikawa</w:t>
            </w:r>
            <w:proofErr w:type="spellEnd"/>
            <w:r w:rsidRPr="00E465AA">
              <w:rPr>
                <w:rFonts w:eastAsia="Roboto"/>
                <w:color w:val="000000" w:themeColor="text1"/>
                <w:sz w:val="18"/>
                <w:szCs w:val="18"/>
                <w:highlight w:val="white"/>
              </w:rPr>
              <w:t>.</w:t>
            </w:r>
            <w:r w:rsidRPr="00D0108C">
              <w:rPr>
                <w:rFonts w:eastAsia="Roboto"/>
                <w:color w:val="000000" w:themeColor="text1"/>
                <w:sz w:val="18"/>
                <w:szCs w:val="18"/>
                <w:highlight w:val="white"/>
              </w:rPr>
              <w:t xml:space="preserve"> </w:t>
            </w:r>
            <w:r w:rsidRPr="00A36323">
              <w:rPr>
                <w:rFonts w:eastAsia="Roboto"/>
                <w:color w:val="000000" w:themeColor="text1"/>
                <w:sz w:val="18"/>
                <w:szCs w:val="18"/>
                <w:highlight w:val="white"/>
              </w:rPr>
              <w:t>Accuracy of Smartphone-Based Pulse Oximetry Compared with Hospital-Grade Pulse Oximetry in Healthy Children. Telemedicine and e-</w:t>
            </w:r>
            <w:proofErr w:type="spellStart"/>
            <w:r w:rsidRPr="00A36323">
              <w:rPr>
                <w:rFonts w:eastAsia="Roboto"/>
                <w:color w:val="000000" w:themeColor="text1"/>
                <w:sz w:val="18"/>
                <w:szCs w:val="18"/>
                <w:highlight w:val="white"/>
              </w:rPr>
              <w:t>Health.Jul</w:t>
            </w:r>
            <w:proofErr w:type="spellEnd"/>
            <w:r w:rsidRPr="00A36323">
              <w:rPr>
                <w:rFonts w:eastAsia="Roboto"/>
                <w:color w:val="000000" w:themeColor="text1"/>
                <w:sz w:val="18"/>
                <w:szCs w:val="18"/>
                <w:highlight w:val="white"/>
              </w:rPr>
              <w:t xml:space="preserve"> 2018.527-535, United States of America</w:t>
            </w:r>
            <w:r w:rsidRPr="00A36323">
              <w:rPr>
                <w:color w:val="000000" w:themeColor="text1"/>
                <w:sz w:val="18"/>
                <w:szCs w:val="18"/>
                <w:highlight w:val="white"/>
              </w:rPr>
              <w:t xml:space="preserve"> </w:t>
            </w:r>
            <w:bookmarkStart w:id="2" w:name="_clovt4paw484" w:colFirst="0" w:colLast="0"/>
            <w:bookmarkEnd w:id="2"/>
          </w:p>
        </w:tc>
        <w:tc>
          <w:tcPr>
            <w:tcW w:w="2127" w:type="dxa"/>
          </w:tcPr>
          <w:p w14:paraId="085DBAD9" w14:textId="77777777" w:rsidR="00345959" w:rsidRPr="00A36323" w:rsidRDefault="00345959" w:rsidP="00DB39F5">
            <w:pPr>
              <w:rPr>
                <w:color w:val="000000" w:themeColor="text1"/>
                <w:sz w:val="18"/>
                <w:szCs w:val="18"/>
                <w:highlight w:val="white"/>
              </w:rPr>
            </w:pPr>
            <w:r w:rsidRPr="00A36323">
              <w:rPr>
                <w:rFonts w:eastAsia="Roboto"/>
                <w:color w:val="000000" w:themeColor="text1"/>
                <w:sz w:val="18"/>
                <w:szCs w:val="18"/>
                <w:highlight w:val="white"/>
              </w:rPr>
              <w:t>Validation study that compared: “a camera-based app (CBA), which utilizes the phone's own camera lens and flash with no additional device required” and “a probe-based app (PBA), which is an app designed to use an external probe that connects directly to the smartphone. “</w:t>
            </w:r>
          </w:p>
        </w:tc>
        <w:tc>
          <w:tcPr>
            <w:tcW w:w="3685" w:type="dxa"/>
          </w:tcPr>
          <w:p w14:paraId="1B29DADB" w14:textId="67D50669" w:rsidR="00A36323" w:rsidRDefault="00A36323" w:rsidP="00A36323">
            <w:pPr>
              <w:rPr>
                <w:sz w:val="18"/>
                <w:szCs w:val="18"/>
              </w:rPr>
            </w:pPr>
            <w:r w:rsidRPr="0026106C">
              <w:rPr>
                <w:rFonts w:hint="eastAsia"/>
                <w:sz w:val="18"/>
                <w:szCs w:val="18"/>
              </w:rPr>
              <w:t>“</w:t>
            </w:r>
            <w:r w:rsidRPr="0026106C">
              <w:rPr>
                <w:sz w:val="18"/>
                <w:szCs w:val="18"/>
              </w:rPr>
              <w:t>81 children ages 2</w:t>
            </w:r>
            <w:r w:rsidRPr="0026106C">
              <w:rPr>
                <w:rFonts w:hint="eastAsia"/>
                <w:sz w:val="18"/>
                <w:szCs w:val="18"/>
              </w:rPr>
              <w:t>–</w:t>
            </w:r>
            <w:r w:rsidRPr="0026106C">
              <w:rPr>
                <w:sz w:val="18"/>
                <w:szCs w:val="18"/>
              </w:rPr>
              <w:t xml:space="preserve">13 years without a respiratory complaint and a triage </w:t>
            </w:r>
            <w:proofErr w:type="spellStart"/>
            <w:r w:rsidRPr="0026106C">
              <w:rPr>
                <w:sz w:val="18"/>
                <w:szCs w:val="18"/>
              </w:rPr>
              <w:t>SpO</w:t>
            </w:r>
            <w:proofErr w:type="spellEnd"/>
            <w:r w:rsidRPr="0026106C">
              <w:rPr>
                <w:position w:val="-4"/>
                <w:sz w:val="18"/>
                <w:szCs w:val="18"/>
              </w:rPr>
              <w:t xml:space="preserve">2 </w:t>
            </w:r>
            <w:r w:rsidRPr="0026106C">
              <w:rPr>
                <w:rFonts w:hint="eastAsia"/>
                <w:sz w:val="18"/>
                <w:szCs w:val="18"/>
              </w:rPr>
              <w:t>‡</w:t>
            </w:r>
            <w:r w:rsidRPr="0026106C">
              <w:rPr>
                <w:sz w:val="18"/>
                <w:szCs w:val="18"/>
              </w:rPr>
              <w:t xml:space="preserve">97% seen in a </w:t>
            </w:r>
            <w:proofErr w:type="spellStart"/>
            <w:r w:rsidRPr="0026106C">
              <w:rPr>
                <w:sz w:val="18"/>
                <w:szCs w:val="18"/>
              </w:rPr>
              <w:t>pediatric</w:t>
            </w:r>
            <w:proofErr w:type="spellEnd"/>
            <w:r w:rsidRPr="0026106C">
              <w:rPr>
                <w:sz w:val="18"/>
                <w:szCs w:val="18"/>
              </w:rPr>
              <w:t xml:space="preserve"> Emergency Department.</w:t>
            </w:r>
            <w:r w:rsidRPr="0026106C">
              <w:rPr>
                <w:rFonts w:hint="eastAsia"/>
                <w:sz w:val="18"/>
                <w:szCs w:val="18"/>
              </w:rPr>
              <w:t>”</w:t>
            </w:r>
            <w:r w:rsidRPr="0026106C">
              <w:rPr>
                <w:sz w:val="18"/>
                <w:szCs w:val="18"/>
              </w:rPr>
              <w:t xml:space="preserve"> </w:t>
            </w:r>
          </w:p>
          <w:p w14:paraId="2D02ECE7" w14:textId="20C2435D" w:rsidR="00E465AA" w:rsidRPr="0026106C" w:rsidRDefault="00E465AA" w:rsidP="00E465AA">
            <w:pPr>
              <w:pStyle w:val="NormalWeb"/>
              <w:shd w:val="clear" w:color="auto" w:fill="FFFFFF"/>
              <w:rPr>
                <w:rFonts w:ascii="Arial" w:hAnsi="Arial" w:cs="Arial"/>
                <w:sz w:val="18"/>
                <w:szCs w:val="18"/>
              </w:rPr>
            </w:pPr>
            <w:r w:rsidRPr="0026106C">
              <w:rPr>
                <w:rFonts w:ascii="Arial" w:hAnsi="Arial" w:cs="Arial"/>
                <w:sz w:val="18"/>
                <w:szCs w:val="18"/>
              </w:rPr>
              <w:t xml:space="preserve">Children were excluded if they were in the ED for a respiratory-related complaint, if they had underlying cardiac, respiratory, hematologic, or metabolic disease, if they were a trauma patient, if capillary refill time in fingers was &gt;3 s, or if they had nail polish on their fingernails. </w:t>
            </w:r>
          </w:p>
          <w:p w14:paraId="7263E0E7" w14:textId="77777777" w:rsidR="00E465AA" w:rsidRPr="0026106C" w:rsidRDefault="00E465AA" w:rsidP="0026106C">
            <w:pPr>
              <w:rPr>
                <w:sz w:val="18"/>
                <w:szCs w:val="18"/>
              </w:rPr>
            </w:pPr>
          </w:p>
          <w:p w14:paraId="38636588" w14:textId="20112D97" w:rsidR="00345959" w:rsidRPr="00A36323" w:rsidRDefault="00345959" w:rsidP="00DB39F5">
            <w:pPr>
              <w:rPr>
                <w:rFonts w:eastAsia="Roboto"/>
                <w:color w:val="000000" w:themeColor="text1"/>
                <w:sz w:val="18"/>
                <w:szCs w:val="18"/>
                <w:highlight w:val="white"/>
              </w:rPr>
            </w:pPr>
          </w:p>
        </w:tc>
        <w:tc>
          <w:tcPr>
            <w:tcW w:w="2835" w:type="dxa"/>
          </w:tcPr>
          <w:p w14:paraId="583ADADC" w14:textId="7B20E1E4" w:rsidR="00345959" w:rsidRPr="00A36323" w:rsidRDefault="00A36323" w:rsidP="00DB39F5">
            <w:pPr>
              <w:rPr>
                <w:color w:val="000000" w:themeColor="text1"/>
                <w:sz w:val="18"/>
                <w:szCs w:val="18"/>
                <w:highlight w:val="white"/>
              </w:rPr>
            </w:pPr>
            <w:r w:rsidRPr="0026106C">
              <w:rPr>
                <w:sz w:val="18"/>
                <w:szCs w:val="18"/>
              </w:rPr>
              <w:t xml:space="preserve">Two investigators obtained heart rate and </w:t>
            </w:r>
            <w:proofErr w:type="spellStart"/>
            <w:r w:rsidRPr="0026106C">
              <w:rPr>
                <w:sz w:val="18"/>
                <w:szCs w:val="18"/>
              </w:rPr>
              <w:t>SpO</w:t>
            </w:r>
            <w:proofErr w:type="spellEnd"/>
            <w:r w:rsidRPr="0026106C">
              <w:rPr>
                <w:position w:val="-4"/>
                <w:sz w:val="18"/>
                <w:szCs w:val="18"/>
              </w:rPr>
              <w:t xml:space="preserve">2 </w:t>
            </w:r>
            <w:r w:rsidRPr="0026106C">
              <w:rPr>
                <w:sz w:val="18"/>
                <w:szCs w:val="18"/>
              </w:rPr>
              <w:t>using each app. Inter-rater reliability was tested using interclass correlations (ICCs), and Bland</w:t>
            </w:r>
            <w:r w:rsidRPr="0026106C">
              <w:rPr>
                <w:rFonts w:hint="eastAsia"/>
                <w:sz w:val="18"/>
                <w:szCs w:val="18"/>
              </w:rPr>
              <w:t>–</w:t>
            </w:r>
            <w:r w:rsidRPr="0026106C">
              <w:rPr>
                <w:sz w:val="18"/>
                <w:szCs w:val="18"/>
              </w:rPr>
              <w:t xml:space="preserve"> Altman method was used to compare app values to triage measurements.</w:t>
            </w:r>
          </w:p>
        </w:tc>
        <w:tc>
          <w:tcPr>
            <w:tcW w:w="3518" w:type="dxa"/>
          </w:tcPr>
          <w:p w14:paraId="07701139" w14:textId="3254ABBB" w:rsidR="00A36323" w:rsidRPr="0026106C" w:rsidRDefault="00A36323" w:rsidP="0026106C">
            <w:pPr>
              <w:rPr>
                <w:sz w:val="18"/>
                <w:szCs w:val="18"/>
              </w:rPr>
            </w:pPr>
            <w:r w:rsidRPr="0026106C">
              <w:rPr>
                <w:sz w:val="18"/>
                <w:szCs w:val="18"/>
                <w:highlight w:val="white"/>
              </w:rPr>
              <w:t xml:space="preserve">The Probe Based App (PBA) was equivalent to standard pulse oximetry (in non-hypoxic children), but the Camera Based App (CBA) that uses the phone's camera and flash was unreliable. </w:t>
            </w:r>
          </w:p>
          <w:p w14:paraId="4A8D02ED" w14:textId="2E35735E" w:rsidR="00A36323" w:rsidRPr="0026106C" w:rsidRDefault="00A36323" w:rsidP="00A36323">
            <w:pPr>
              <w:pStyle w:val="NormalWeb"/>
              <w:shd w:val="clear" w:color="auto" w:fill="FFFFFF"/>
              <w:rPr>
                <w:rFonts w:ascii="Arial" w:hAnsi="Arial" w:cs="Arial"/>
                <w:sz w:val="18"/>
                <w:szCs w:val="18"/>
              </w:rPr>
            </w:pPr>
            <w:r w:rsidRPr="0026106C">
              <w:rPr>
                <w:rFonts w:ascii="Arial" w:hAnsi="Arial" w:cs="Arial" w:hint="eastAsia"/>
                <w:sz w:val="18"/>
                <w:szCs w:val="18"/>
              </w:rPr>
              <w:t>“</w:t>
            </w:r>
            <w:r w:rsidRPr="0026106C">
              <w:rPr>
                <w:rFonts w:ascii="Arial" w:hAnsi="Arial" w:cs="Arial"/>
                <w:sz w:val="18"/>
                <w:szCs w:val="18"/>
              </w:rPr>
              <w:t xml:space="preserve">ICC for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for PBA and CBA were 0.73 and -0.24, respectively. The 95% limits of agreement between the PBA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and triage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were -2.8 to +2.5 compared with -4.1 to +3.5 for the CBA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and triage </w:t>
            </w:r>
            <w:proofErr w:type="spellStart"/>
            <w:r w:rsidRPr="0026106C">
              <w:rPr>
                <w:rFonts w:ascii="Arial" w:hAnsi="Arial" w:cs="Arial"/>
                <w:sz w:val="18"/>
                <w:szCs w:val="18"/>
              </w:rPr>
              <w:t>SpO</w:t>
            </w:r>
            <w:proofErr w:type="spellEnd"/>
            <w:r w:rsidRPr="0026106C">
              <w:rPr>
                <w:rFonts w:ascii="Arial" w:hAnsi="Arial" w:cs="Arial"/>
                <w:position w:val="-4"/>
                <w:sz w:val="18"/>
                <w:szCs w:val="18"/>
              </w:rPr>
              <w:t>2</w:t>
            </w:r>
            <w:r w:rsidRPr="0026106C">
              <w:rPr>
                <w:rFonts w:ascii="Arial" w:hAnsi="Arial" w:cs="Arial"/>
                <w:sz w:val="18"/>
                <w:szCs w:val="18"/>
              </w:rPr>
              <w:t xml:space="preserve">. Mean differences between triage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and the PBA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(-0.17%) and triage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and CBA </w:t>
            </w:r>
            <w:proofErr w:type="spellStart"/>
            <w:r w:rsidRPr="0026106C">
              <w:rPr>
                <w:rFonts w:ascii="Arial" w:hAnsi="Arial" w:cs="Arial"/>
                <w:sz w:val="18"/>
                <w:szCs w:val="18"/>
              </w:rPr>
              <w:t>SpO</w:t>
            </w:r>
            <w:proofErr w:type="spellEnd"/>
            <w:r w:rsidRPr="0026106C">
              <w:rPr>
                <w:rFonts w:ascii="Arial" w:hAnsi="Arial" w:cs="Arial"/>
                <w:position w:val="-4"/>
                <w:sz w:val="18"/>
                <w:szCs w:val="18"/>
              </w:rPr>
              <w:t xml:space="preserve">2 </w:t>
            </w:r>
            <w:r w:rsidRPr="0026106C">
              <w:rPr>
                <w:rFonts w:ascii="Arial" w:hAnsi="Arial" w:cs="Arial"/>
                <w:sz w:val="18"/>
                <w:szCs w:val="18"/>
              </w:rPr>
              <w:t xml:space="preserve">(-0.33%) were not statistically significant. </w:t>
            </w:r>
            <w:r w:rsidRPr="0026106C">
              <w:rPr>
                <w:rFonts w:ascii="Arial" w:hAnsi="Arial" w:cs="Arial" w:hint="eastAsia"/>
                <w:sz w:val="18"/>
                <w:szCs w:val="18"/>
              </w:rPr>
              <w:t>“</w:t>
            </w:r>
          </w:p>
          <w:p w14:paraId="0BACEF9B" w14:textId="77777777" w:rsidR="00A36323" w:rsidRPr="00A36323" w:rsidRDefault="00A36323" w:rsidP="00DB39F5">
            <w:pPr>
              <w:rPr>
                <w:rFonts w:eastAsia="Roboto"/>
                <w:color w:val="000000" w:themeColor="text1"/>
                <w:sz w:val="18"/>
                <w:szCs w:val="18"/>
                <w:highlight w:val="white"/>
              </w:rPr>
            </w:pPr>
          </w:p>
          <w:p w14:paraId="779A6E6B" w14:textId="77777777" w:rsidR="00A36323" w:rsidRPr="00E465AA" w:rsidRDefault="00A36323" w:rsidP="00DB39F5">
            <w:pPr>
              <w:rPr>
                <w:rFonts w:eastAsia="Roboto"/>
                <w:color w:val="000000" w:themeColor="text1"/>
                <w:sz w:val="18"/>
                <w:szCs w:val="18"/>
                <w:highlight w:val="white"/>
              </w:rPr>
            </w:pPr>
          </w:p>
          <w:p w14:paraId="3EA80D69" w14:textId="77777777" w:rsidR="00A36323" w:rsidRPr="00D0108C" w:rsidRDefault="00A36323" w:rsidP="00DB39F5">
            <w:pPr>
              <w:rPr>
                <w:rFonts w:eastAsia="Roboto"/>
                <w:color w:val="000000" w:themeColor="text1"/>
                <w:sz w:val="18"/>
                <w:szCs w:val="18"/>
                <w:highlight w:val="white"/>
              </w:rPr>
            </w:pPr>
          </w:p>
          <w:p w14:paraId="64EB1C8F" w14:textId="6DF894B2" w:rsidR="00345959" w:rsidRPr="00A36323" w:rsidRDefault="00345959" w:rsidP="00DB39F5">
            <w:pPr>
              <w:rPr>
                <w:rFonts w:eastAsia="Roboto"/>
                <w:color w:val="000000" w:themeColor="text1"/>
                <w:sz w:val="18"/>
                <w:szCs w:val="18"/>
                <w:highlight w:val="white"/>
              </w:rPr>
            </w:pPr>
          </w:p>
        </w:tc>
      </w:tr>
    </w:tbl>
    <w:p w14:paraId="24170EC7" w14:textId="0FE452C3" w:rsidR="00345959" w:rsidRDefault="00345959" w:rsidP="00A2689E">
      <w:pPr>
        <w:rPr>
          <w:b/>
          <w:color w:val="000000" w:themeColor="text1"/>
          <w:sz w:val="18"/>
          <w:szCs w:val="18"/>
          <w:highlight w:val="white"/>
        </w:rPr>
        <w:sectPr w:rsidR="00345959" w:rsidSect="00D12E92">
          <w:pgSz w:w="15840" w:h="12240"/>
          <w:pgMar w:top="720" w:right="720" w:bottom="720" w:left="720" w:header="720" w:footer="720" w:gutter="0"/>
          <w:cols w:space="720" w:equalWidth="0">
            <w:col w:w="10080"/>
          </w:cols>
          <w:docGrid w:linePitch="299"/>
        </w:sectPr>
      </w:pPr>
    </w:p>
    <w:p w14:paraId="0A1C1AB3" w14:textId="44402FBF" w:rsidR="00345959" w:rsidRDefault="00345959" w:rsidP="00345959">
      <w:pPr>
        <w:rPr>
          <w:b/>
          <w:color w:val="000000" w:themeColor="text1"/>
          <w:sz w:val="18"/>
          <w:szCs w:val="18"/>
          <w:highlight w:val="white"/>
        </w:rPr>
      </w:pPr>
      <w:bookmarkStart w:id="3" w:name="_chhzsdu0lr00" w:colFirst="0" w:colLast="0"/>
      <w:bookmarkStart w:id="4" w:name="_lq3puluzrky8" w:colFirst="0" w:colLast="0"/>
      <w:bookmarkEnd w:id="3"/>
      <w:bookmarkEnd w:id="4"/>
      <w:r w:rsidRPr="00F07E96">
        <w:rPr>
          <w:b/>
          <w:color w:val="000000" w:themeColor="text1"/>
          <w:sz w:val="18"/>
          <w:szCs w:val="18"/>
          <w:highlight w:val="white"/>
        </w:rPr>
        <w:lastRenderedPageBreak/>
        <w:t>Table 1: Included studies</w:t>
      </w:r>
      <w:r>
        <w:rPr>
          <w:b/>
          <w:color w:val="000000" w:themeColor="text1"/>
          <w:sz w:val="18"/>
          <w:szCs w:val="18"/>
          <w:highlight w:val="white"/>
        </w:rPr>
        <w:t xml:space="preserve"> (continued)</w:t>
      </w:r>
    </w:p>
    <w:tbl>
      <w:tblPr>
        <w:tblStyle w:val="TableGrid"/>
        <w:tblW w:w="13866" w:type="dxa"/>
        <w:tblInd w:w="-5" w:type="dxa"/>
        <w:tblLayout w:type="fixed"/>
        <w:tblLook w:val="04A0" w:firstRow="1" w:lastRow="0" w:firstColumn="1" w:lastColumn="0" w:noHBand="0" w:noVBand="1"/>
      </w:tblPr>
      <w:tblGrid>
        <w:gridCol w:w="1701"/>
        <w:gridCol w:w="2127"/>
        <w:gridCol w:w="3685"/>
        <w:gridCol w:w="2835"/>
        <w:gridCol w:w="3518"/>
      </w:tblGrid>
      <w:tr w:rsidR="00345959" w:rsidRPr="00F07E96" w14:paraId="1EDE7033" w14:textId="77777777" w:rsidTr="00DB39F5">
        <w:tc>
          <w:tcPr>
            <w:tcW w:w="1701" w:type="dxa"/>
          </w:tcPr>
          <w:p w14:paraId="74F0D32A" w14:textId="77777777" w:rsidR="00345959" w:rsidRPr="00F07E96" w:rsidRDefault="00345959" w:rsidP="00DB39F5">
            <w:pPr>
              <w:rPr>
                <w:b/>
                <w:color w:val="000000" w:themeColor="text1"/>
                <w:sz w:val="18"/>
                <w:szCs w:val="18"/>
                <w:highlight w:val="white"/>
              </w:rPr>
            </w:pPr>
            <w:proofErr w:type="spellStart"/>
            <w:proofErr w:type="gramStart"/>
            <w:r w:rsidRPr="00F07E96">
              <w:rPr>
                <w:b/>
                <w:color w:val="000000" w:themeColor="text1"/>
                <w:sz w:val="18"/>
                <w:szCs w:val="18"/>
                <w:highlight w:val="white"/>
              </w:rPr>
              <w:t>Author,</w:t>
            </w:r>
            <w:r>
              <w:rPr>
                <w:b/>
                <w:color w:val="000000" w:themeColor="text1"/>
                <w:sz w:val="18"/>
                <w:szCs w:val="18"/>
                <w:highlight w:val="white"/>
              </w:rPr>
              <w:t>Title</w:t>
            </w:r>
            <w:proofErr w:type="spellEnd"/>
            <w:proofErr w:type="gramEnd"/>
            <w:r>
              <w:rPr>
                <w:b/>
                <w:color w:val="000000" w:themeColor="text1"/>
                <w:sz w:val="18"/>
                <w:szCs w:val="18"/>
                <w:highlight w:val="white"/>
              </w:rPr>
              <w:t>,</w:t>
            </w:r>
            <w:r w:rsidRPr="00F07E96">
              <w:rPr>
                <w:b/>
                <w:color w:val="000000" w:themeColor="text1"/>
                <w:sz w:val="18"/>
                <w:szCs w:val="18"/>
                <w:highlight w:val="white"/>
              </w:rPr>
              <w:t xml:space="preserve"> Journal, Year, Country </w:t>
            </w:r>
          </w:p>
        </w:tc>
        <w:tc>
          <w:tcPr>
            <w:tcW w:w="2127" w:type="dxa"/>
          </w:tcPr>
          <w:p w14:paraId="55E1E678" w14:textId="77777777" w:rsidR="00345959" w:rsidRPr="00F07E96" w:rsidRDefault="00345959" w:rsidP="00DB39F5">
            <w:pPr>
              <w:rPr>
                <w:b/>
                <w:color w:val="000000" w:themeColor="text1"/>
                <w:sz w:val="18"/>
                <w:szCs w:val="18"/>
                <w:highlight w:val="white"/>
              </w:rPr>
            </w:pPr>
            <w:r w:rsidRPr="00F07E96">
              <w:rPr>
                <w:b/>
                <w:color w:val="000000" w:themeColor="text1"/>
                <w:sz w:val="18"/>
                <w:szCs w:val="18"/>
                <w:highlight w:val="white"/>
              </w:rPr>
              <w:t>Aims/objectives, Study type</w:t>
            </w:r>
          </w:p>
        </w:tc>
        <w:tc>
          <w:tcPr>
            <w:tcW w:w="3685" w:type="dxa"/>
          </w:tcPr>
          <w:p w14:paraId="56537F4E" w14:textId="77777777" w:rsidR="00345959" w:rsidRPr="00F07E96" w:rsidRDefault="00345959" w:rsidP="00DB39F5">
            <w:pPr>
              <w:rPr>
                <w:b/>
                <w:color w:val="000000" w:themeColor="text1"/>
                <w:sz w:val="18"/>
                <w:szCs w:val="18"/>
                <w:highlight w:val="white"/>
              </w:rPr>
            </w:pPr>
            <w:r w:rsidRPr="00F07E96">
              <w:rPr>
                <w:b/>
                <w:color w:val="000000" w:themeColor="text1"/>
                <w:sz w:val="18"/>
                <w:szCs w:val="18"/>
                <w:highlight w:val="white"/>
              </w:rPr>
              <w:t>Sampling/recruitment method, No of participants</w:t>
            </w:r>
          </w:p>
        </w:tc>
        <w:tc>
          <w:tcPr>
            <w:tcW w:w="2835" w:type="dxa"/>
          </w:tcPr>
          <w:p w14:paraId="5C47BAE3" w14:textId="77777777" w:rsidR="00345959" w:rsidRPr="00F07E96" w:rsidRDefault="00345959" w:rsidP="00DB39F5">
            <w:pPr>
              <w:rPr>
                <w:b/>
                <w:color w:val="000000" w:themeColor="text1"/>
                <w:sz w:val="18"/>
                <w:szCs w:val="18"/>
                <w:highlight w:val="white"/>
              </w:rPr>
            </w:pPr>
            <w:r w:rsidRPr="00F07E96">
              <w:rPr>
                <w:b/>
                <w:color w:val="000000" w:themeColor="text1"/>
                <w:sz w:val="18"/>
                <w:szCs w:val="18"/>
                <w:highlight w:val="white"/>
              </w:rPr>
              <w:t>Data collection method</w:t>
            </w:r>
          </w:p>
        </w:tc>
        <w:tc>
          <w:tcPr>
            <w:tcW w:w="3518" w:type="dxa"/>
          </w:tcPr>
          <w:p w14:paraId="46D9715A" w14:textId="77777777" w:rsidR="00345959" w:rsidRPr="00F07E96" w:rsidRDefault="00345959" w:rsidP="00DB39F5">
            <w:pPr>
              <w:rPr>
                <w:b/>
                <w:color w:val="000000" w:themeColor="text1"/>
                <w:sz w:val="18"/>
                <w:szCs w:val="18"/>
                <w:highlight w:val="white"/>
              </w:rPr>
            </w:pPr>
            <w:r w:rsidRPr="00F07E96">
              <w:rPr>
                <w:b/>
                <w:color w:val="000000" w:themeColor="text1"/>
                <w:sz w:val="18"/>
                <w:szCs w:val="18"/>
                <w:highlight w:val="white"/>
              </w:rPr>
              <w:t>Main Findings</w:t>
            </w:r>
          </w:p>
        </w:tc>
      </w:tr>
      <w:tr w:rsidR="00345959" w:rsidRPr="00F07E96" w14:paraId="5B27F0A1" w14:textId="77777777" w:rsidTr="00DB39F5">
        <w:tc>
          <w:tcPr>
            <w:tcW w:w="1701" w:type="dxa"/>
          </w:tcPr>
          <w:p w14:paraId="56831A96" w14:textId="77777777" w:rsidR="00345959" w:rsidRPr="00F07E96" w:rsidRDefault="00345959" w:rsidP="00DB39F5">
            <w:pPr>
              <w:rPr>
                <w:rFonts w:eastAsia="Roboto"/>
                <w:color w:val="000000" w:themeColor="text1"/>
                <w:sz w:val="18"/>
                <w:szCs w:val="18"/>
                <w:highlight w:val="white"/>
              </w:rPr>
            </w:pPr>
            <w:bookmarkStart w:id="5" w:name="_ummb2wwbqow0" w:colFirst="0" w:colLast="0"/>
            <w:bookmarkEnd w:id="5"/>
            <w:proofErr w:type="spellStart"/>
            <w:r w:rsidRPr="00F07E96">
              <w:rPr>
                <w:rFonts w:eastAsia="Roboto"/>
                <w:color w:val="000000" w:themeColor="text1"/>
                <w:sz w:val="18"/>
                <w:szCs w:val="18"/>
                <w:highlight w:val="white"/>
              </w:rPr>
              <w:t>Tayfur</w:t>
            </w:r>
            <w:proofErr w:type="spellEnd"/>
            <w:r w:rsidRPr="00F07E96">
              <w:rPr>
                <w:rFonts w:eastAsia="Roboto"/>
                <w:color w:val="000000" w:themeColor="text1"/>
                <w:sz w:val="18"/>
                <w:szCs w:val="18"/>
                <w:highlight w:val="white"/>
              </w:rPr>
              <w:t xml:space="preserve"> I, </w:t>
            </w:r>
            <w:proofErr w:type="spellStart"/>
            <w:r w:rsidRPr="00F07E96">
              <w:rPr>
                <w:rFonts w:eastAsia="Roboto"/>
                <w:color w:val="000000" w:themeColor="text1"/>
                <w:sz w:val="18"/>
                <w:szCs w:val="18"/>
                <w:highlight w:val="white"/>
              </w:rPr>
              <w:t>Afacan</w:t>
            </w:r>
            <w:proofErr w:type="spellEnd"/>
            <w:r w:rsidRPr="00F07E96">
              <w:rPr>
                <w:rFonts w:eastAsia="Roboto"/>
                <w:color w:val="000000" w:themeColor="text1"/>
                <w:sz w:val="18"/>
                <w:szCs w:val="18"/>
                <w:highlight w:val="white"/>
              </w:rPr>
              <w:t xml:space="preserve"> MA. Reliability of smartphone measurements of vital parameters: A prospective study using a reference method. </w:t>
            </w:r>
            <w:r w:rsidRPr="00F07E96">
              <w:rPr>
                <w:rFonts w:eastAsia="Roboto"/>
                <w:i/>
                <w:color w:val="000000" w:themeColor="text1"/>
                <w:sz w:val="18"/>
                <w:szCs w:val="18"/>
                <w:highlight w:val="white"/>
              </w:rPr>
              <w:t xml:space="preserve">Am J </w:t>
            </w:r>
            <w:proofErr w:type="spellStart"/>
            <w:r w:rsidRPr="00F07E96">
              <w:rPr>
                <w:rFonts w:eastAsia="Roboto"/>
                <w:i/>
                <w:color w:val="000000" w:themeColor="text1"/>
                <w:sz w:val="18"/>
                <w:szCs w:val="18"/>
                <w:highlight w:val="white"/>
              </w:rPr>
              <w:t>Emerg</w:t>
            </w:r>
            <w:proofErr w:type="spellEnd"/>
            <w:r w:rsidRPr="00F07E96">
              <w:rPr>
                <w:rFonts w:eastAsia="Roboto"/>
                <w:i/>
                <w:color w:val="000000" w:themeColor="text1"/>
                <w:sz w:val="18"/>
                <w:szCs w:val="18"/>
                <w:highlight w:val="white"/>
              </w:rPr>
              <w:t xml:space="preserve"> Med</w:t>
            </w:r>
            <w:r w:rsidRPr="00F07E96">
              <w:rPr>
                <w:rFonts w:eastAsia="Roboto"/>
                <w:color w:val="000000" w:themeColor="text1"/>
                <w:sz w:val="18"/>
                <w:szCs w:val="18"/>
                <w:highlight w:val="white"/>
              </w:rPr>
              <w:t xml:space="preserve"> </w:t>
            </w:r>
            <w:proofErr w:type="gramStart"/>
            <w:r w:rsidRPr="00F07E96">
              <w:rPr>
                <w:rFonts w:eastAsia="Roboto"/>
                <w:color w:val="000000" w:themeColor="text1"/>
                <w:sz w:val="18"/>
                <w:szCs w:val="18"/>
                <w:highlight w:val="white"/>
              </w:rPr>
              <w:t>2019;37:1527</w:t>
            </w:r>
            <w:proofErr w:type="gramEnd"/>
            <w:r w:rsidRPr="00F07E96">
              <w:rPr>
                <w:rFonts w:eastAsia="Roboto"/>
                <w:color w:val="000000" w:themeColor="text1"/>
                <w:sz w:val="18"/>
                <w:szCs w:val="18"/>
                <w:highlight w:val="white"/>
              </w:rPr>
              <w:t>–30</w:t>
            </w:r>
            <w:r>
              <w:rPr>
                <w:rFonts w:eastAsia="Roboto"/>
                <w:color w:val="000000" w:themeColor="text1"/>
                <w:sz w:val="18"/>
                <w:szCs w:val="18"/>
              </w:rPr>
              <w:t xml:space="preserve">. </w:t>
            </w:r>
            <w:r w:rsidRPr="00F07E96">
              <w:rPr>
                <w:color w:val="000000" w:themeColor="text1"/>
                <w:sz w:val="18"/>
                <w:szCs w:val="18"/>
              </w:rPr>
              <w:t>Turkey</w:t>
            </w:r>
          </w:p>
        </w:tc>
        <w:tc>
          <w:tcPr>
            <w:tcW w:w="2127" w:type="dxa"/>
          </w:tcPr>
          <w:p w14:paraId="7E9FBFF5" w14:textId="17387C7D" w:rsidR="00345959" w:rsidRPr="00F07E96" w:rsidRDefault="00345959" w:rsidP="00DB39F5">
            <w:pPr>
              <w:rPr>
                <w:rFonts w:eastAsia="Roboto"/>
                <w:color w:val="000000" w:themeColor="text1"/>
                <w:sz w:val="18"/>
                <w:szCs w:val="18"/>
                <w:highlight w:val="white"/>
              </w:rPr>
            </w:pPr>
            <w:r>
              <w:rPr>
                <w:rFonts w:eastAsia="Roboto"/>
                <w:color w:val="000000" w:themeColor="text1"/>
                <w:sz w:val="18"/>
                <w:szCs w:val="18"/>
                <w:highlight w:val="white"/>
              </w:rPr>
              <w:t>This was a study “</w:t>
            </w:r>
            <w:r w:rsidRPr="00F07E96">
              <w:rPr>
                <w:rFonts w:eastAsia="Roboto"/>
                <w:color w:val="000000" w:themeColor="text1"/>
                <w:sz w:val="18"/>
                <w:szCs w:val="18"/>
                <w:highlight w:val="white"/>
              </w:rPr>
              <w:t>aimed to evaluate the accuracy of HR and SaO2 data obtained using a smartphone compared with the measurements of</w:t>
            </w:r>
            <w:r>
              <w:rPr>
                <w:rFonts w:eastAsia="Roboto"/>
                <w:color w:val="000000" w:themeColor="text1"/>
                <w:sz w:val="18"/>
                <w:szCs w:val="18"/>
                <w:highlight w:val="white"/>
              </w:rPr>
              <w:t xml:space="preserve"> </w:t>
            </w:r>
            <w:r w:rsidRPr="00F07E96">
              <w:rPr>
                <w:rFonts w:eastAsia="Roboto"/>
                <w:color w:val="000000" w:themeColor="text1"/>
                <w:sz w:val="18"/>
                <w:szCs w:val="18"/>
                <w:highlight w:val="white"/>
              </w:rPr>
              <w:t>a vital signs monitor (VSM) and an arterial blood gas (ABG) device, respectively.”</w:t>
            </w:r>
          </w:p>
        </w:tc>
        <w:tc>
          <w:tcPr>
            <w:tcW w:w="3685" w:type="dxa"/>
          </w:tcPr>
          <w:p w14:paraId="5194278B" w14:textId="4DE4979A"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Convenience sample of 114 patients presenting to an emergency unit in Istanbul. 13 results were excluded due to technical reasons.</w:t>
            </w:r>
            <w:r w:rsidR="00B93630">
              <w:rPr>
                <w:color w:val="000000" w:themeColor="text1"/>
                <w:sz w:val="18"/>
                <w:szCs w:val="18"/>
                <w:highlight w:val="white"/>
              </w:rPr>
              <w:t xml:space="preserve"> </w:t>
            </w:r>
            <w:proofErr w:type="gramStart"/>
            <w:r w:rsidRPr="00F07E96">
              <w:rPr>
                <w:color w:val="000000" w:themeColor="text1"/>
                <w:sz w:val="18"/>
                <w:szCs w:val="18"/>
                <w:highlight w:val="white"/>
              </w:rPr>
              <w:t>”The</w:t>
            </w:r>
            <w:proofErr w:type="gramEnd"/>
            <w:r w:rsidRPr="00F07E96">
              <w:rPr>
                <w:color w:val="000000" w:themeColor="text1"/>
                <w:sz w:val="18"/>
                <w:szCs w:val="18"/>
                <w:highlight w:val="white"/>
              </w:rPr>
              <w:t xml:space="preserve"> data of a total of</w:t>
            </w:r>
            <w:r>
              <w:rPr>
                <w:color w:val="000000" w:themeColor="text1"/>
                <w:sz w:val="18"/>
                <w:szCs w:val="18"/>
                <w:highlight w:val="white"/>
              </w:rPr>
              <w:t xml:space="preserve"> </w:t>
            </w:r>
            <w:r w:rsidRPr="00F07E96">
              <w:rPr>
                <w:color w:val="000000" w:themeColor="text1"/>
                <w:sz w:val="18"/>
                <w:szCs w:val="18"/>
                <w:highlight w:val="white"/>
              </w:rPr>
              <w:t xml:space="preserve">101 patients, 48 male (47.5%) and 53 female (52.5%), were </w:t>
            </w:r>
            <w:proofErr w:type="spellStart"/>
            <w:r w:rsidRPr="00F07E96">
              <w:rPr>
                <w:color w:val="000000" w:themeColor="text1"/>
                <w:sz w:val="18"/>
                <w:szCs w:val="18"/>
                <w:highlight w:val="white"/>
              </w:rPr>
              <w:t>analyzed</w:t>
            </w:r>
            <w:proofErr w:type="spellEnd"/>
            <w:r w:rsidRPr="00F07E96">
              <w:rPr>
                <w:color w:val="000000" w:themeColor="text1"/>
                <w:sz w:val="18"/>
                <w:szCs w:val="18"/>
                <w:highlight w:val="white"/>
              </w:rPr>
              <w:t>.”</w:t>
            </w:r>
          </w:p>
          <w:p w14:paraId="3BBDDDFB" w14:textId="77777777"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“The mean age of the male and female patients was 68.08 and 72 years, respectively. According to the age distribution of the patients, the highest number of patients were in the 60–69 years group (25.75%, n=26).” 42% had pulmonary disease.</w:t>
            </w:r>
          </w:p>
          <w:p w14:paraId="7DF9C1E4" w14:textId="746D5178"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 xml:space="preserve">It is not noted how many patients were excluded according to pre-defined exclusion criteria, which were: “patients aged under 18 years, those that did not agree or give consent to participate in the study, those requiring urgent intervention (blue code, unstable patients), those not able to adapt to the measurements with a device (unconscious, confused, etc.), those with a high degree of hypothermia that might adversely affect the measurement from the skin, and those wearing nail polish or false nails. </w:t>
            </w:r>
          </w:p>
        </w:tc>
        <w:tc>
          <w:tcPr>
            <w:tcW w:w="2835" w:type="dxa"/>
          </w:tcPr>
          <w:p w14:paraId="7190549E" w14:textId="77777777" w:rsidR="00345959" w:rsidRPr="00F07E96" w:rsidRDefault="00345959" w:rsidP="00DB39F5">
            <w:pPr>
              <w:rPr>
                <w:rFonts w:eastAsia="Roboto"/>
                <w:color w:val="000000" w:themeColor="text1"/>
                <w:sz w:val="18"/>
                <w:szCs w:val="18"/>
                <w:highlight w:val="white"/>
              </w:rPr>
            </w:pPr>
            <w:r w:rsidRPr="00F07E96">
              <w:rPr>
                <w:rFonts w:eastAsia="Roboto"/>
                <w:color w:val="000000" w:themeColor="text1"/>
                <w:sz w:val="18"/>
                <w:szCs w:val="18"/>
                <w:highlight w:val="white"/>
              </w:rPr>
              <w:t xml:space="preserve">“This study investigated the SaO2 and HR measurement reliability and efficacy of a Samsung Galaxy S8 (SM- G950F) smartphone… and the VSM (Welch </w:t>
            </w:r>
            <w:proofErr w:type="spellStart"/>
            <w:r w:rsidRPr="00F07E96">
              <w:rPr>
                <w:rFonts w:eastAsia="Roboto"/>
                <w:color w:val="000000" w:themeColor="text1"/>
                <w:sz w:val="18"/>
                <w:szCs w:val="18"/>
                <w:highlight w:val="white"/>
              </w:rPr>
              <w:t>Allyn</w:t>
            </w:r>
            <w:proofErr w:type="spellEnd"/>
            <w:r w:rsidRPr="00F07E96">
              <w:rPr>
                <w:rFonts w:eastAsia="Roboto"/>
                <w:color w:val="000000" w:themeColor="text1"/>
                <w:sz w:val="18"/>
                <w:szCs w:val="18"/>
                <w:highlight w:val="white"/>
              </w:rPr>
              <w:t xml:space="preserve">, Connex Spot Monitor 71 WT) equipped with a </w:t>
            </w:r>
            <w:proofErr w:type="spellStart"/>
            <w:r w:rsidRPr="00F07E96">
              <w:rPr>
                <w:rFonts w:eastAsia="Roboto"/>
                <w:color w:val="000000" w:themeColor="text1"/>
                <w:sz w:val="18"/>
                <w:szCs w:val="18"/>
                <w:highlight w:val="white"/>
              </w:rPr>
              <w:t>Nellcor</w:t>
            </w:r>
            <w:proofErr w:type="spellEnd"/>
            <w:r w:rsidRPr="00F07E96">
              <w:rPr>
                <w:rFonts w:eastAsia="Roboto"/>
                <w:color w:val="000000" w:themeColor="text1"/>
                <w:sz w:val="18"/>
                <w:szCs w:val="18"/>
                <w:highlight w:val="white"/>
              </w:rPr>
              <w:t xml:space="preserve"> probe, and an ABG device (Radiometer ABL800, 754R0428N007), both available in the emergency service. The HR data measured by the smartphone were compared with the HR values obtained from the same VSM simultaneously. The triage nurse/paramedic measured the HR and SaO2 values using VSM and noted them in the study form. The smartphone measurements</w:t>
            </w:r>
            <w:r>
              <w:rPr>
                <w:rFonts w:eastAsia="Roboto"/>
                <w:color w:val="000000" w:themeColor="text1"/>
                <w:sz w:val="18"/>
                <w:szCs w:val="18"/>
                <w:highlight w:val="white"/>
              </w:rPr>
              <w:t xml:space="preserve"> </w:t>
            </w:r>
            <w:r w:rsidRPr="00F07E96">
              <w:rPr>
                <w:rFonts w:eastAsia="Roboto"/>
                <w:color w:val="000000" w:themeColor="text1"/>
                <w:sz w:val="18"/>
                <w:szCs w:val="18"/>
                <w:highlight w:val="white"/>
              </w:rPr>
              <w:t>were</w:t>
            </w:r>
            <w:r>
              <w:rPr>
                <w:rFonts w:eastAsia="Roboto"/>
                <w:color w:val="000000" w:themeColor="text1"/>
                <w:sz w:val="18"/>
                <w:szCs w:val="18"/>
                <w:highlight w:val="white"/>
              </w:rPr>
              <w:t xml:space="preserve"> </w:t>
            </w:r>
            <w:r w:rsidRPr="00F07E96">
              <w:rPr>
                <w:rFonts w:eastAsia="Roboto"/>
                <w:color w:val="000000" w:themeColor="text1"/>
                <w:sz w:val="18"/>
                <w:szCs w:val="18"/>
                <w:highlight w:val="white"/>
              </w:rPr>
              <w:t>undertaken by a second emergency service nurse blinded to the HR and SaO2 values determined by VSM and recorded in another form. The real-time ABG analysis was performed by doctors working in the emergency room on the same day and the results were noted in the ABG section of the study form.</w:t>
            </w:r>
            <w:r>
              <w:rPr>
                <w:rFonts w:eastAsia="Roboto"/>
                <w:color w:val="000000" w:themeColor="text1"/>
                <w:sz w:val="18"/>
                <w:szCs w:val="18"/>
                <w:highlight w:val="white"/>
              </w:rPr>
              <w:t>”</w:t>
            </w:r>
          </w:p>
        </w:tc>
        <w:tc>
          <w:tcPr>
            <w:tcW w:w="3518" w:type="dxa"/>
          </w:tcPr>
          <w:p w14:paraId="490B16ED" w14:textId="77777777"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A Bland-Altman analysis of the results comparing VSM to the smartphone for heart rate and oxygen saturation found a</w:t>
            </w:r>
          </w:p>
          <w:p w14:paraId="497B60BB" w14:textId="77777777"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Mean difference:</w:t>
            </w:r>
          </w:p>
          <w:p w14:paraId="1D3ACF96" w14:textId="77777777"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Smartphone SaO2 vs Arterial blood gas SaO2:</w:t>
            </w:r>
          </w:p>
          <w:p w14:paraId="743A6550" w14:textId="77777777" w:rsidR="00345959" w:rsidRPr="00F07E96" w:rsidRDefault="00345959" w:rsidP="00DB39F5">
            <w:pPr>
              <w:rPr>
                <w:color w:val="000000" w:themeColor="text1"/>
                <w:sz w:val="18"/>
                <w:szCs w:val="18"/>
                <w:highlight w:val="white"/>
              </w:rPr>
            </w:pPr>
            <w:r w:rsidRPr="00F07E96">
              <w:rPr>
                <w:rFonts w:eastAsia="Arial Unicode MS"/>
                <w:color w:val="000000" w:themeColor="text1"/>
                <w:sz w:val="18"/>
                <w:szCs w:val="18"/>
                <w:highlight w:val="white"/>
              </w:rPr>
              <w:t xml:space="preserve">−0.67% (95%CI=−0.845 to−0.494). </w:t>
            </w:r>
          </w:p>
          <w:p w14:paraId="7F4D9443" w14:textId="77777777"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 xml:space="preserve">Correlation coefficient: </w:t>
            </w:r>
          </w:p>
          <w:p w14:paraId="5E3DC540" w14:textId="77777777" w:rsidR="00345959" w:rsidRPr="00F07E96" w:rsidRDefault="00345959" w:rsidP="00DB39F5">
            <w:pPr>
              <w:rPr>
                <w:color w:val="000000" w:themeColor="text1"/>
                <w:sz w:val="18"/>
                <w:szCs w:val="18"/>
                <w:highlight w:val="white"/>
              </w:rPr>
            </w:pPr>
            <w:r w:rsidRPr="00F07E96">
              <w:rPr>
                <w:color w:val="000000" w:themeColor="text1"/>
                <w:sz w:val="18"/>
                <w:szCs w:val="18"/>
                <w:highlight w:val="white"/>
              </w:rPr>
              <w:t>0.968 for smartphone SaO2 – ABG SaO2 (95% CI = 0.952 to 0.978)</w:t>
            </w:r>
          </w:p>
          <w:p w14:paraId="5C74EC70" w14:textId="5096B1D2" w:rsidR="00345959" w:rsidRPr="00F07E96" w:rsidRDefault="00345959" w:rsidP="00DB39F5">
            <w:pPr>
              <w:rPr>
                <w:color w:val="000000" w:themeColor="text1"/>
                <w:sz w:val="18"/>
                <w:szCs w:val="18"/>
                <w:highlight w:val="white"/>
              </w:rPr>
            </w:pPr>
            <w:proofErr w:type="gramStart"/>
            <w:r w:rsidRPr="00F07E96">
              <w:rPr>
                <w:color w:val="000000" w:themeColor="text1"/>
                <w:sz w:val="18"/>
                <w:szCs w:val="18"/>
                <w:highlight w:val="white"/>
              </w:rPr>
              <w:t>.The</w:t>
            </w:r>
            <w:proofErr w:type="gramEnd"/>
            <w:r w:rsidRPr="00F07E96">
              <w:rPr>
                <w:color w:val="000000" w:themeColor="text1"/>
                <w:sz w:val="18"/>
                <w:szCs w:val="18"/>
                <w:highlight w:val="white"/>
              </w:rPr>
              <w:t xml:space="preserve"> VSM and Smartphone SaO2 mean difference and correlation coefficient are </w:t>
            </w:r>
            <w:r w:rsidR="0045061D">
              <w:rPr>
                <w:color w:val="000000" w:themeColor="text1"/>
                <w:sz w:val="18"/>
                <w:szCs w:val="18"/>
                <w:highlight w:val="white"/>
              </w:rPr>
              <w:t xml:space="preserve">not </w:t>
            </w:r>
            <w:r w:rsidRPr="00F07E96">
              <w:rPr>
                <w:color w:val="000000" w:themeColor="text1"/>
                <w:sz w:val="18"/>
                <w:szCs w:val="18"/>
                <w:highlight w:val="white"/>
              </w:rPr>
              <w:t>reported, and this is problematic as it is the most clinically useful parameter, given that this is the likely application of the study</w:t>
            </w:r>
            <w:r>
              <w:rPr>
                <w:color w:val="000000" w:themeColor="text1"/>
                <w:sz w:val="18"/>
                <w:szCs w:val="18"/>
                <w:highlight w:val="white"/>
              </w:rPr>
              <w:t xml:space="preserve"> – replacing one form of non-invasive oximetry with another</w:t>
            </w:r>
            <w:r w:rsidRPr="00F07E96">
              <w:rPr>
                <w:color w:val="000000" w:themeColor="text1"/>
                <w:sz w:val="18"/>
                <w:szCs w:val="18"/>
                <w:highlight w:val="white"/>
              </w:rPr>
              <w:t>.</w:t>
            </w:r>
          </w:p>
          <w:p w14:paraId="0C9F6D12" w14:textId="77777777" w:rsidR="00345959" w:rsidRPr="00F07E96" w:rsidRDefault="00345959" w:rsidP="00DB39F5">
            <w:pPr>
              <w:rPr>
                <w:color w:val="000000" w:themeColor="text1"/>
                <w:sz w:val="18"/>
                <w:szCs w:val="18"/>
                <w:highlight w:val="white"/>
              </w:rPr>
            </w:pPr>
          </w:p>
        </w:tc>
      </w:tr>
    </w:tbl>
    <w:p w14:paraId="0770C479" w14:textId="6C36B71F" w:rsidR="00345959" w:rsidRDefault="00345959" w:rsidP="00345959">
      <w:pPr>
        <w:rPr>
          <w:b/>
          <w:color w:val="000000" w:themeColor="text1"/>
          <w:sz w:val="18"/>
          <w:szCs w:val="18"/>
          <w:highlight w:val="white"/>
        </w:rPr>
        <w:sectPr w:rsidR="00345959" w:rsidSect="00D12E92">
          <w:pgSz w:w="15840" w:h="12240"/>
          <w:pgMar w:top="720" w:right="720" w:bottom="720" w:left="720" w:header="720" w:footer="720" w:gutter="0"/>
          <w:cols w:space="720" w:equalWidth="0">
            <w:col w:w="10080"/>
          </w:cols>
          <w:docGrid w:linePitch="299"/>
        </w:sectPr>
      </w:pPr>
    </w:p>
    <w:p w14:paraId="27384AE0" w14:textId="77777777" w:rsidR="00C110BA" w:rsidRPr="00F07E96" w:rsidRDefault="00101314" w:rsidP="00786257">
      <w:pPr>
        <w:pStyle w:val="Heading2"/>
        <w:rPr>
          <w:highlight w:val="white"/>
        </w:rPr>
      </w:pPr>
      <w:r w:rsidRPr="00F07E96">
        <w:rPr>
          <w:highlight w:val="white"/>
        </w:rPr>
        <w:lastRenderedPageBreak/>
        <w:t>Critical appraisal</w:t>
      </w:r>
      <w:r w:rsidR="00567A02" w:rsidRPr="00F07E96">
        <w:rPr>
          <w:highlight w:val="white"/>
        </w:rPr>
        <w:t>:</w:t>
      </w:r>
    </w:p>
    <w:p w14:paraId="359D2C79" w14:textId="7B410381" w:rsidR="00C110BA" w:rsidRPr="00F07E96" w:rsidRDefault="00567A02" w:rsidP="00786257">
      <w:pPr>
        <w:rPr>
          <w:highlight w:val="white"/>
        </w:rPr>
      </w:pPr>
      <w:r w:rsidRPr="00F07E96">
        <w:rPr>
          <w:highlight w:val="white"/>
        </w:rPr>
        <w:t>We used the</w:t>
      </w:r>
      <w:r w:rsidR="00101314" w:rsidRPr="00F07E96">
        <w:rPr>
          <w:highlight w:val="white"/>
        </w:rPr>
        <w:t xml:space="preserve"> </w:t>
      </w:r>
      <w:proofErr w:type="spellStart"/>
      <w:r w:rsidR="00101314" w:rsidRPr="00F07E96">
        <w:rPr>
          <w:highlight w:val="white"/>
        </w:rPr>
        <w:t>the</w:t>
      </w:r>
      <w:proofErr w:type="spellEnd"/>
      <w:r w:rsidR="00101314" w:rsidRPr="00F07E96">
        <w:rPr>
          <w:highlight w:val="white"/>
        </w:rPr>
        <w:t xml:space="preserve"> BMJ Best Practice guidelines for Diagnostic test studies</w:t>
      </w:r>
      <w:r w:rsidR="00D01D49" w:rsidRPr="00F07E96">
        <w:rPr>
          <w:highlight w:val="white"/>
        </w:rPr>
        <w:t>.</w:t>
      </w:r>
      <w:r w:rsidR="00D01D49" w:rsidRPr="00F07E96">
        <w:rPr>
          <w:highlight w:val="white"/>
        </w:rPr>
        <w:fldChar w:fldCharType="begin" w:fldLock="1"/>
      </w:r>
      <w:r w:rsidR="00EE003C">
        <w:rPr>
          <w:highlight w:val="white"/>
        </w:rPr>
        <w:instrText>ADDIN CSL_CITATION {"citationItems":[{"id":"ITEM-1","itemData":{"abstract":"The title compound, C8H14N2 2+·C12H8N2O8P -·ClO4 -, was formed by the reaction of ,-bis-m-xylenediamine and sodium bis-p-nitro-phenyl-phosphate in the presence of Zn(ClO4)·6H2O in methanol solution. The two amine groups of the m-xylenediammonium ion are each protonated and each hydrogen-bonded to two O atoms of the phosphate anion, which acts as a 1,3-bridge. The ammonium groups are arranged matched face to face and each pair is doubly bridged by two perchlorate ions through hydrogen bonding. In addition, there are also weak C - H</w:instrText>
      </w:r>
      <w:r w:rsidR="00EE003C">
        <w:rPr>
          <w:rFonts w:ascii="Cambria Math" w:hAnsi="Cambria Math" w:cs="Cambria Math"/>
          <w:highlight w:val="white"/>
        </w:rPr>
        <w:instrText>⋯</w:instrText>
      </w:r>
      <w:r w:rsidR="00EE003C">
        <w:rPr>
          <w:highlight w:val="white"/>
        </w:rPr>
        <w:instrText>O inter-actions. Both the N - H</w:instrText>
      </w:r>
      <w:r w:rsidR="00EE003C">
        <w:rPr>
          <w:rFonts w:ascii="Cambria Math" w:hAnsi="Cambria Math" w:cs="Cambria Math"/>
          <w:highlight w:val="white"/>
        </w:rPr>
        <w:instrText>⋯</w:instrText>
      </w:r>
      <w:r w:rsidR="00EE003C">
        <w:rPr>
          <w:highlight w:val="white"/>
        </w:rPr>
        <w:instrText>O and C - H</w:instrText>
      </w:r>
      <w:r w:rsidR="00EE003C">
        <w:rPr>
          <w:rFonts w:ascii="Cambria Math" w:hAnsi="Cambria Math" w:cs="Cambria Math"/>
          <w:highlight w:val="white"/>
        </w:rPr>
        <w:instrText>⋯</w:instrText>
      </w:r>
      <w:r w:rsidR="00EE003C">
        <w:rPr>
          <w:highlight w:val="white"/>
        </w:rPr>
        <w:instrText>O inter-actions are contained in a channel down the a axis. The perchlorate oxygen atoms are disordered over two positions with site occupancy factors of ca 0.7 and 0.3.","author":[{"dropping-particle":"","family":"BMJ","given":"","non-dropping-particle":"","parse-names":false,"suffix":""}],"container-title":"BMJ","id":"ITEM-1","issued":{"date-parts":[["2010"]]},"title":"Diagnostic test studies: assessment and critical appraisal","type":"webpage"},"uris":["http://www.mendeley.com/documents/?uuid=3bf8997c-9f16-42aa-bcc2-385f88d82ad0"]}],"mendeley":{"formattedCitation":"&lt;sup&gt;11&lt;/sup&gt;","plainTextFormattedCitation":"11","previouslyFormattedCitation":"&lt;sup&gt;11&lt;/sup&gt;"},"properties":{"noteIndex":0},"schema":"https://github.com/citation-style-language/schema/raw/master/csl-citation.json"}</w:instrText>
      </w:r>
      <w:r w:rsidR="00D01D49" w:rsidRPr="00F07E96">
        <w:rPr>
          <w:highlight w:val="white"/>
        </w:rPr>
        <w:fldChar w:fldCharType="separate"/>
      </w:r>
      <w:r w:rsidR="005C3FDD" w:rsidRPr="005C3FDD">
        <w:rPr>
          <w:noProof/>
          <w:highlight w:val="white"/>
          <w:vertAlign w:val="superscript"/>
        </w:rPr>
        <w:t>11</w:t>
      </w:r>
      <w:r w:rsidR="00D01D49" w:rsidRPr="00F07E96">
        <w:rPr>
          <w:highlight w:val="white"/>
        </w:rPr>
        <w:fldChar w:fldCharType="end"/>
      </w:r>
    </w:p>
    <w:p w14:paraId="69BFE12A" w14:textId="5E273480" w:rsidR="00997AC1" w:rsidRPr="00F07E96" w:rsidRDefault="00997AC1" w:rsidP="002336FB">
      <w:pPr>
        <w:rPr>
          <w:b/>
          <w:bCs/>
          <w:color w:val="000000" w:themeColor="text1"/>
          <w:sz w:val="18"/>
          <w:szCs w:val="18"/>
          <w:highlight w:val="white"/>
        </w:rPr>
      </w:pPr>
      <w:r w:rsidRPr="00F07E96">
        <w:rPr>
          <w:b/>
          <w:bCs/>
          <w:color w:val="000000" w:themeColor="text1"/>
          <w:sz w:val="18"/>
          <w:szCs w:val="18"/>
          <w:highlight w:val="white"/>
        </w:rPr>
        <w:t xml:space="preserve">Table 2: Critical appraisal of included </w:t>
      </w:r>
      <w:proofErr w:type="gramStart"/>
      <w:r w:rsidRPr="00F07E96">
        <w:rPr>
          <w:b/>
          <w:bCs/>
          <w:color w:val="000000" w:themeColor="text1"/>
          <w:sz w:val="18"/>
          <w:szCs w:val="18"/>
          <w:highlight w:val="white"/>
        </w:rPr>
        <w:t>studies.</w:t>
      </w:r>
      <w:r w:rsidR="00F12F0F">
        <w:rPr>
          <w:b/>
          <w:bCs/>
          <w:color w:val="000000" w:themeColor="text1"/>
          <w:sz w:val="18"/>
          <w:szCs w:val="18"/>
          <w:highlight w:val="white"/>
        </w:rPr>
        <w:t>*</w:t>
      </w:r>
      <w:proofErr w:type="gramEnd"/>
    </w:p>
    <w:tbl>
      <w:tblPr>
        <w:tblStyle w:val="TableGrid"/>
        <w:tblW w:w="9134" w:type="dxa"/>
        <w:tblLook w:val="0600" w:firstRow="0" w:lastRow="0" w:firstColumn="0" w:lastColumn="0" w:noHBand="1" w:noVBand="1"/>
      </w:tblPr>
      <w:tblGrid>
        <w:gridCol w:w="1727"/>
        <w:gridCol w:w="2291"/>
        <w:gridCol w:w="2678"/>
        <w:gridCol w:w="2438"/>
      </w:tblGrid>
      <w:tr w:rsidR="00B352D0" w:rsidRPr="00F07E96" w14:paraId="0FCB0B56" w14:textId="28B753ED" w:rsidTr="00F12F0F">
        <w:tc>
          <w:tcPr>
            <w:tcW w:w="0" w:type="auto"/>
          </w:tcPr>
          <w:p w14:paraId="012E05D7" w14:textId="77777777" w:rsidR="00F12F0F" w:rsidRPr="00F07E96" w:rsidRDefault="00F12F0F" w:rsidP="002336FB">
            <w:pPr>
              <w:rPr>
                <w:b/>
                <w:bCs/>
                <w:color w:val="000000" w:themeColor="text1"/>
                <w:sz w:val="18"/>
                <w:szCs w:val="18"/>
                <w:highlight w:val="white"/>
              </w:rPr>
            </w:pPr>
            <w:r w:rsidRPr="00F07E96">
              <w:rPr>
                <w:b/>
                <w:bCs/>
                <w:color w:val="000000" w:themeColor="text1"/>
                <w:sz w:val="18"/>
                <w:szCs w:val="18"/>
                <w:highlight w:val="white"/>
              </w:rPr>
              <w:t>Question</w:t>
            </w:r>
          </w:p>
        </w:tc>
        <w:tc>
          <w:tcPr>
            <w:tcW w:w="0" w:type="auto"/>
          </w:tcPr>
          <w:p w14:paraId="70696772" w14:textId="77777777" w:rsidR="00F12F0F" w:rsidRDefault="00F12F0F" w:rsidP="002336FB">
            <w:pPr>
              <w:rPr>
                <w:b/>
                <w:bCs/>
                <w:color w:val="000000" w:themeColor="text1"/>
                <w:sz w:val="18"/>
                <w:szCs w:val="18"/>
                <w:highlight w:val="white"/>
              </w:rPr>
            </w:pPr>
            <w:proofErr w:type="spellStart"/>
            <w:r w:rsidRPr="00F07E96">
              <w:rPr>
                <w:b/>
                <w:bCs/>
                <w:color w:val="000000" w:themeColor="text1"/>
                <w:sz w:val="18"/>
                <w:szCs w:val="18"/>
                <w:highlight w:val="white"/>
              </w:rPr>
              <w:t>Chorin</w:t>
            </w:r>
            <w:proofErr w:type="spellEnd"/>
            <w:r w:rsidRPr="00F07E96">
              <w:rPr>
                <w:b/>
                <w:bCs/>
                <w:color w:val="000000" w:themeColor="text1"/>
                <w:sz w:val="18"/>
                <w:szCs w:val="18"/>
                <w:highlight w:val="white"/>
              </w:rPr>
              <w:t xml:space="preserve"> and colleagues</w:t>
            </w:r>
          </w:p>
          <w:p w14:paraId="5DA2CD10" w14:textId="06C7FA72" w:rsidR="00B352D0" w:rsidRPr="00F07E96" w:rsidRDefault="00B352D0" w:rsidP="002336FB">
            <w:pPr>
              <w:rPr>
                <w:b/>
                <w:bCs/>
                <w:color w:val="000000" w:themeColor="text1"/>
                <w:sz w:val="18"/>
                <w:szCs w:val="18"/>
                <w:highlight w:val="white"/>
              </w:rPr>
            </w:pPr>
            <w:r>
              <w:rPr>
                <w:b/>
                <w:bCs/>
                <w:color w:val="000000" w:themeColor="text1"/>
                <w:sz w:val="18"/>
                <w:szCs w:val="18"/>
                <w:highlight w:val="white"/>
              </w:rPr>
              <w:t>ROTH SCORE</w:t>
            </w:r>
          </w:p>
        </w:tc>
        <w:tc>
          <w:tcPr>
            <w:tcW w:w="0" w:type="auto"/>
          </w:tcPr>
          <w:p w14:paraId="6C2BBA56" w14:textId="77777777" w:rsidR="00F12F0F" w:rsidRDefault="00F12F0F" w:rsidP="002336FB">
            <w:pPr>
              <w:rPr>
                <w:b/>
                <w:bCs/>
                <w:color w:val="000000" w:themeColor="text1"/>
                <w:sz w:val="18"/>
                <w:szCs w:val="18"/>
                <w:highlight w:val="white"/>
              </w:rPr>
            </w:pPr>
            <w:r w:rsidRPr="00F07E96">
              <w:rPr>
                <w:b/>
                <w:bCs/>
                <w:color w:val="000000" w:themeColor="text1"/>
                <w:sz w:val="18"/>
                <w:szCs w:val="18"/>
                <w:highlight w:val="white"/>
              </w:rPr>
              <w:t>Thomlinson and colleagues</w:t>
            </w:r>
          </w:p>
          <w:p w14:paraId="49A1D55A" w14:textId="2EC81D88" w:rsidR="00B352D0" w:rsidRPr="00F07E96" w:rsidRDefault="00B352D0" w:rsidP="002336FB">
            <w:pPr>
              <w:rPr>
                <w:b/>
                <w:bCs/>
                <w:color w:val="000000" w:themeColor="text1"/>
                <w:sz w:val="18"/>
                <w:szCs w:val="18"/>
                <w:highlight w:val="white"/>
              </w:rPr>
            </w:pPr>
            <w:r>
              <w:rPr>
                <w:b/>
                <w:bCs/>
                <w:color w:val="000000" w:themeColor="text1"/>
                <w:sz w:val="18"/>
                <w:szCs w:val="18"/>
                <w:highlight w:val="white"/>
              </w:rPr>
              <w:t>SMARTPHONE OXIMETRY</w:t>
            </w:r>
          </w:p>
        </w:tc>
        <w:tc>
          <w:tcPr>
            <w:tcW w:w="0" w:type="auto"/>
          </w:tcPr>
          <w:p w14:paraId="7EA3AB60" w14:textId="64136CB9" w:rsidR="00F12F0F" w:rsidRDefault="00F12F0F" w:rsidP="002336FB">
            <w:pPr>
              <w:rPr>
                <w:b/>
                <w:bCs/>
                <w:color w:val="000000" w:themeColor="text1"/>
                <w:sz w:val="18"/>
                <w:szCs w:val="18"/>
                <w:highlight w:val="white"/>
              </w:rPr>
            </w:pPr>
            <w:proofErr w:type="spellStart"/>
            <w:r w:rsidRPr="00F07E96">
              <w:rPr>
                <w:b/>
                <w:bCs/>
                <w:color w:val="000000" w:themeColor="text1"/>
                <w:sz w:val="18"/>
                <w:szCs w:val="18"/>
                <w:highlight w:val="white"/>
              </w:rPr>
              <w:t>Tayfur</w:t>
            </w:r>
            <w:proofErr w:type="spellEnd"/>
            <w:r w:rsidRPr="00F07E96">
              <w:rPr>
                <w:b/>
                <w:bCs/>
                <w:color w:val="000000" w:themeColor="text1"/>
                <w:sz w:val="18"/>
                <w:szCs w:val="18"/>
                <w:highlight w:val="white"/>
              </w:rPr>
              <w:t xml:space="preserve"> and </w:t>
            </w:r>
            <w:proofErr w:type="spellStart"/>
            <w:r w:rsidRPr="00F07E96">
              <w:rPr>
                <w:b/>
                <w:bCs/>
                <w:color w:val="000000" w:themeColor="text1"/>
                <w:sz w:val="18"/>
                <w:szCs w:val="18"/>
                <w:highlight w:val="white"/>
              </w:rPr>
              <w:t>Afacan</w:t>
            </w:r>
            <w:proofErr w:type="spellEnd"/>
          </w:p>
          <w:p w14:paraId="6082AA45" w14:textId="2FE8F6F5" w:rsidR="00B352D0" w:rsidRPr="00F07E96" w:rsidRDefault="00B352D0" w:rsidP="002336FB">
            <w:pPr>
              <w:rPr>
                <w:b/>
                <w:bCs/>
                <w:color w:val="000000" w:themeColor="text1"/>
                <w:sz w:val="18"/>
                <w:szCs w:val="18"/>
                <w:highlight w:val="white"/>
              </w:rPr>
            </w:pPr>
            <w:r>
              <w:rPr>
                <w:b/>
                <w:bCs/>
                <w:color w:val="000000" w:themeColor="text1"/>
                <w:sz w:val="18"/>
                <w:szCs w:val="18"/>
                <w:highlight w:val="white"/>
              </w:rPr>
              <w:t>SMARTPHONE OXIMETRY</w:t>
            </w:r>
          </w:p>
        </w:tc>
      </w:tr>
      <w:tr w:rsidR="00B352D0" w:rsidRPr="00F07E96" w14:paraId="28D0D354" w14:textId="72FE8962" w:rsidTr="00F12F0F">
        <w:tc>
          <w:tcPr>
            <w:tcW w:w="0" w:type="auto"/>
          </w:tcPr>
          <w:p w14:paraId="7B7E95CA" w14:textId="77777777" w:rsidR="00F12F0F" w:rsidRPr="00F07E96" w:rsidRDefault="00F12F0F" w:rsidP="002336FB">
            <w:pPr>
              <w:rPr>
                <w:color w:val="000000" w:themeColor="text1"/>
                <w:sz w:val="18"/>
                <w:szCs w:val="18"/>
                <w:highlight w:val="white"/>
              </w:rPr>
            </w:pPr>
            <w:r w:rsidRPr="00F07E96">
              <w:rPr>
                <w:i/>
                <w:color w:val="000000" w:themeColor="text1"/>
                <w:sz w:val="18"/>
                <w:szCs w:val="18"/>
                <w:highlight w:val="white"/>
              </w:rPr>
              <w:t xml:space="preserve">Was there an independent, blind comparison with a reference (gold) standard of diagnosis? </w:t>
            </w:r>
          </w:p>
        </w:tc>
        <w:tc>
          <w:tcPr>
            <w:tcW w:w="0" w:type="auto"/>
          </w:tcPr>
          <w:p w14:paraId="42456563" w14:textId="7AF9B42F" w:rsidR="00F12F0F" w:rsidRPr="00F07E96" w:rsidRDefault="00B352D0" w:rsidP="002336FB">
            <w:pPr>
              <w:rPr>
                <w:color w:val="000000" w:themeColor="text1"/>
                <w:sz w:val="18"/>
                <w:szCs w:val="18"/>
                <w:highlight w:val="white"/>
              </w:rPr>
            </w:pPr>
            <w:r>
              <w:rPr>
                <w:color w:val="000000" w:themeColor="text1"/>
                <w:sz w:val="18"/>
                <w:szCs w:val="18"/>
                <w:highlight w:val="white"/>
              </w:rPr>
              <w:t>Not really</w:t>
            </w:r>
            <w:r w:rsidR="00F12F0F" w:rsidRPr="00F07E96">
              <w:rPr>
                <w:color w:val="000000" w:themeColor="text1"/>
                <w:sz w:val="18"/>
                <w:szCs w:val="18"/>
                <w:highlight w:val="white"/>
              </w:rPr>
              <w:t xml:space="preserve">. Patients and controls’ Roth scores were compared to pulse oximetry, which is </w:t>
            </w:r>
            <w:r w:rsidR="00E81E87">
              <w:rPr>
                <w:color w:val="000000" w:themeColor="text1"/>
                <w:sz w:val="18"/>
                <w:szCs w:val="18"/>
                <w:highlight w:val="white"/>
              </w:rPr>
              <w:t xml:space="preserve">a reference standard but </w:t>
            </w:r>
            <w:r w:rsidR="00F12F0F" w:rsidRPr="00F07E96">
              <w:rPr>
                <w:color w:val="000000" w:themeColor="text1"/>
                <w:sz w:val="18"/>
                <w:szCs w:val="18"/>
                <w:highlight w:val="white"/>
              </w:rPr>
              <w:t>not the gold standard</w:t>
            </w:r>
            <w:r w:rsidR="00E81E87">
              <w:rPr>
                <w:color w:val="000000" w:themeColor="text1"/>
                <w:sz w:val="18"/>
                <w:szCs w:val="18"/>
                <w:highlight w:val="white"/>
              </w:rPr>
              <w:t xml:space="preserve"> (blood gas)</w:t>
            </w:r>
            <w:r w:rsidR="00F12F0F" w:rsidRPr="00F07E96">
              <w:rPr>
                <w:color w:val="000000" w:themeColor="text1"/>
                <w:sz w:val="18"/>
                <w:szCs w:val="18"/>
                <w:highlight w:val="white"/>
              </w:rPr>
              <w:t>. Researchers were not blinded</w:t>
            </w:r>
            <w:r w:rsidR="00F12F0F">
              <w:rPr>
                <w:color w:val="000000" w:themeColor="text1"/>
                <w:sz w:val="18"/>
                <w:szCs w:val="18"/>
                <w:highlight w:val="white"/>
              </w:rPr>
              <w:t xml:space="preserve"> to the measurements.</w:t>
            </w:r>
          </w:p>
        </w:tc>
        <w:tc>
          <w:tcPr>
            <w:tcW w:w="0" w:type="auto"/>
          </w:tcPr>
          <w:p w14:paraId="7B4F5C4E" w14:textId="1E6148EF"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 xml:space="preserve">No. The children’s SaO2 measurements were compared between </w:t>
            </w:r>
            <w:r w:rsidR="00E465AA">
              <w:rPr>
                <w:color w:val="000000" w:themeColor="text1"/>
                <w:sz w:val="18"/>
                <w:szCs w:val="18"/>
                <w:highlight w:val="white"/>
              </w:rPr>
              <w:t>two</w:t>
            </w:r>
            <w:r w:rsidRPr="00F07E96">
              <w:rPr>
                <w:color w:val="000000" w:themeColor="text1"/>
                <w:sz w:val="18"/>
                <w:szCs w:val="18"/>
                <w:highlight w:val="white"/>
              </w:rPr>
              <w:t xml:space="preserve"> smart phone </w:t>
            </w:r>
            <w:r w:rsidR="00E465AA">
              <w:rPr>
                <w:color w:val="000000" w:themeColor="text1"/>
                <w:sz w:val="18"/>
                <w:szCs w:val="18"/>
                <w:highlight w:val="white"/>
              </w:rPr>
              <w:t xml:space="preserve">applications </w:t>
            </w:r>
            <w:r w:rsidRPr="00F07E96">
              <w:rPr>
                <w:color w:val="000000" w:themeColor="text1"/>
                <w:sz w:val="18"/>
                <w:szCs w:val="18"/>
                <w:highlight w:val="white"/>
              </w:rPr>
              <w:t>and pulse oximeter</w:t>
            </w:r>
            <w:r w:rsidR="00E465AA">
              <w:rPr>
                <w:color w:val="000000" w:themeColor="text1"/>
                <w:sz w:val="18"/>
                <w:szCs w:val="18"/>
                <w:highlight w:val="white"/>
              </w:rPr>
              <w:t xml:space="preserve"> measurements taken during triage</w:t>
            </w:r>
            <w:r w:rsidRPr="00F07E96">
              <w:rPr>
                <w:color w:val="000000" w:themeColor="text1"/>
                <w:sz w:val="18"/>
                <w:szCs w:val="18"/>
                <w:highlight w:val="white"/>
              </w:rPr>
              <w:t xml:space="preserve">. The researcher was not blinded to the </w:t>
            </w:r>
            <w:r w:rsidR="00E465AA">
              <w:rPr>
                <w:color w:val="000000" w:themeColor="text1"/>
                <w:sz w:val="18"/>
                <w:szCs w:val="18"/>
                <w:highlight w:val="white"/>
              </w:rPr>
              <w:t>initial triage measurement or result of the different apps</w:t>
            </w:r>
            <w:r w:rsidRPr="00F07E96">
              <w:rPr>
                <w:color w:val="000000" w:themeColor="text1"/>
                <w:sz w:val="18"/>
                <w:szCs w:val="18"/>
                <w:highlight w:val="white"/>
              </w:rPr>
              <w:t>.</w:t>
            </w:r>
          </w:p>
        </w:tc>
        <w:tc>
          <w:tcPr>
            <w:tcW w:w="0" w:type="auto"/>
          </w:tcPr>
          <w:p w14:paraId="2E951845" w14:textId="77777777"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Yes. Smartphone SaO2 was compared with blood gas analysis but not pulse oximetry, however, the arterial blood gas measurement was not done simultaneously, but on the same day. Researchers were blinded</w:t>
            </w:r>
            <w:r>
              <w:rPr>
                <w:color w:val="000000" w:themeColor="text1"/>
                <w:sz w:val="18"/>
                <w:szCs w:val="18"/>
                <w:highlight w:val="white"/>
              </w:rPr>
              <w:t xml:space="preserve"> to the results.</w:t>
            </w:r>
          </w:p>
        </w:tc>
      </w:tr>
      <w:tr w:rsidR="00B352D0" w:rsidRPr="00F07E96" w14:paraId="42B9189F" w14:textId="46398994" w:rsidTr="00F12F0F">
        <w:tc>
          <w:tcPr>
            <w:tcW w:w="0" w:type="auto"/>
          </w:tcPr>
          <w:p w14:paraId="6E480332" w14:textId="77777777" w:rsidR="00F12F0F" w:rsidRPr="00F07E96" w:rsidRDefault="00F12F0F" w:rsidP="002336FB">
            <w:pPr>
              <w:rPr>
                <w:i/>
                <w:color w:val="000000" w:themeColor="text1"/>
                <w:sz w:val="18"/>
                <w:szCs w:val="18"/>
                <w:highlight w:val="white"/>
              </w:rPr>
            </w:pPr>
            <w:r w:rsidRPr="00F07E96">
              <w:rPr>
                <w:i/>
                <w:color w:val="000000" w:themeColor="text1"/>
                <w:sz w:val="18"/>
                <w:szCs w:val="18"/>
                <w:highlight w:val="white"/>
              </w:rPr>
              <w:t xml:space="preserve">Was the diagnostic test evaluated in an appropriate spectrum of patients (like those a clinician would see in practice)? </w:t>
            </w:r>
          </w:p>
        </w:tc>
        <w:tc>
          <w:tcPr>
            <w:tcW w:w="0" w:type="auto"/>
          </w:tcPr>
          <w:p w14:paraId="5BAF9285" w14:textId="77777777"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 xml:space="preserve">Yes. The </w:t>
            </w:r>
            <w:r>
              <w:rPr>
                <w:color w:val="000000" w:themeColor="text1"/>
                <w:sz w:val="18"/>
                <w:szCs w:val="18"/>
                <w:highlight w:val="white"/>
              </w:rPr>
              <w:t xml:space="preserve">participants were inpatients of </w:t>
            </w:r>
            <w:r w:rsidRPr="00F07E96">
              <w:rPr>
                <w:color w:val="000000" w:themeColor="text1"/>
                <w:sz w:val="18"/>
                <w:szCs w:val="18"/>
                <w:highlight w:val="white"/>
              </w:rPr>
              <w:t>a cardiac care centre, with a variety of chronic and acute conditions with a mean age of 76. The healthy population had a mean age of 58.</w:t>
            </w:r>
          </w:p>
        </w:tc>
        <w:tc>
          <w:tcPr>
            <w:tcW w:w="0" w:type="auto"/>
          </w:tcPr>
          <w:p w14:paraId="416238A3" w14:textId="4A778FD0" w:rsidR="00E465AA" w:rsidRPr="0026106C" w:rsidRDefault="00F12F0F" w:rsidP="00E465AA">
            <w:pPr>
              <w:pStyle w:val="NormalWeb"/>
              <w:shd w:val="clear" w:color="auto" w:fill="FFFFFF"/>
              <w:rPr>
                <w:rFonts w:ascii="Arial" w:hAnsi="Arial" w:cs="Arial"/>
                <w:sz w:val="18"/>
                <w:szCs w:val="18"/>
              </w:rPr>
            </w:pPr>
            <w:r w:rsidRPr="0026106C">
              <w:rPr>
                <w:rFonts w:ascii="Arial" w:hAnsi="Arial" w:cs="Arial"/>
                <w:color w:val="000000" w:themeColor="text1"/>
                <w:sz w:val="18"/>
                <w:szCs w:val="18"/>
                <w:highlight w:val="white"/>
              </w:rPr>
              <w:t xml:space="preserve">No. </w:t>
            </w:r>
            <w:r w:rsidR="00E465AA" w:rsidRPr="0026106C">
              <w:rPr>
                <w:rFonts w:ascii="Arial" w:hAnsi="Arial" w:cs="Arial"/>
                <w:color w:val="000000" w:themeColor="text1"/>
                <w:sz w:val="18"/>
                <w:szCs w:val="18"/>
              </w:rPr>
              <w:t>“</w:t>
            </w:r>
            <w:r w:rsidR="00E465AA" w:rsidRPr="0026106C">
              <w:rPr>
                <w:rFonts w:ascii="Arial" w:hAnsi="Arial" w:cs="Arial"/>
                <w:sz w:val="18"/>
                <w:szCs w:val="18"/>
              </w:rPr>
              <w:t>Children were excluded if they were in the ED for a respiratory-related complaint, if they had underlying cardiac, respiratory, hematologic, or metabolic disease, if they were a trauma patient, if capillary refill time in fingers was &gt;3 s, or if they had nail polish on their fingernails.</w:t>
            </w:r>
            <w:r w:rsidR="00E465AA" w:rsidRPr="0026106C">
              <w:rPr>
                <w:rFonts w:ascii="Arial" w:hAnsi="Arial" w:cs="Arial" w:hint="eastAsia"/>
                <w:sz w:val="18"/>
                <w:szCs w:val="18"/>
              </w:rPr>
              <w:t>”</w:t>
            </w:r>
            <w:r w:rsidR="00E465AA" w:rsidRPr="0026106C">
              <w:rPr>
                <w:rFonts w:ascii="Arial" w:hAnsi="Arial" w:cs="Arial"/>
                <w:sz w:val="18"/>
                <w:szCs w:val="18"/>
              </w:rPr>
              <w:t xml:space="preserve"> </w:t>
            </w:r>
          </w:p>
          <w:p w14:paraId="7994CDCE" w14:textId="1537C494" w:rsidR="00F12F0F" w:rsidRPr="00F07E96" w:rsidRDefault="00F12F0F" w:rsidP="002336FB">
            <w:pPr>
              <w:rPr>
                <w:color w:val="000000" w:themeColor="text1"/>
                <w:sz w:val="18"/>
                <w:szCs w:val="18"/>
                <w:highlight w:val="white"/>
              </w:rPr>
            </w:pPr>
          </w:p>
        </w:tc>
        <w:tc>
          <w:tcPr>
            <w:tcW w:w="0" w:type="auto"/>
          </w:tcPr>
          <w:p w14:paraId="5CA861B4" w14:textId="77777777"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Yes. Mean age of patients was 72 years and 42% suffered from pulmonary disease.</w:t>
            </w:r>
          </w:p>
        </w:tc>
      </w:tr>
      <w:tr w:rsidR="00B352D0" w:rsidRPr="00F07E96" w14:paraId="3A729526" w14:textId="23632799" w:rsidTr="00F12F0F">
        <w:tc>
          <w:tcPr>
            <w:tcW w:w="0" w:type="auto"/>
          </w:tcPr>
          <w:p w14:paraId="51F26A9F" w14:textId="77777777" w:rsidR="00F12F0F" w:rsidRPr="00F07E96" w:rsidRDefault="00F12F0F" w:rsidP="002336FB">
            <w:pPr>
              <w:rPr>
                <w:i/>
                <w:color w:val="000000" w:themeColor="text1"/>
                <w:sz w:val="18"/>
                <w:szCs w:val="18"/>
                <w:highlight w:val="white"/>
              </w:rPr>
            </w:pPr>
            <w:r w:rsidRPr="00F07E96">
              <w:rPr>
                <w:i/>
                <w:color w:val="000000" w:themeColor="text1"/>
                <w:sz w:val="18"/>
                <w:szCs w:val="18"/>
                <w:highlight w:val="white"/>
              </w:rPr>
              <w:t xml:space="preserve">Was the test validated in a second independent group of patients? </w:t>
            </w:r>
          </w:p>
        </w:tc>
        <w:tc>
          <w:tcPr>
            <w:tcW w:w="0" w:type="auto"/>
          </w:tcPr>
          <w:p w14:paraId="5BF12DF3" w14:textId="77777777"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Yes. A control group of healthy volunteers was also included.</w:t>
            </w:r>
          </w:p>
        </w:tc>
        <w:tc>
          <w:tcPr>
            <w:tcW w:w="0" w:type="auto"/>
          </w:tcPr>
          <w:p w14:paraId="4E7CBB76" w14:textId="77777777"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No</w:t>
            </w:r>
          </w:p>
        </w:tc>
        <w:tc>
          <w:tcPr>
            <w:tcW w:w="0" w:type="auto"/>
          </w:tcPr>
          <w:p w14:paraId="22308532" w14:textId="77777777" w:rsidR="00F12F0F" w:rsidRPr="00F07E96" w:rsidRDefault="00F12F0F" w:rsidP="002336FB">
            <w:pPr>
              <w:rPr>
                <w:color w:val="000000" w:themeColor="text1"/>
                <w:sz w:val="18"/>
                <w:szCs w:val="18"/>
                <w:highlight w:val="white"/>
              </w:rPr>
            </w:pPr>
            <w:r w:rsidRPr="00F07E96">
              <w:rPr>
                <w:color w:val="000000" w:themeColor="text1"/>
                <w:sz w:val="18"/>
                <w:szCs w:val="18"/>
                <w:highlight w:val="white"/>
              </w:rPr>
              <w:t>No</w:t>
            </w:r>
          </w:p>
        </w:tc>
      </w:tr>
    </w:tbl>
    <w:p w14:paraId="719D6713" w14:textId="42E895AF" w:rsidR="00F12F0F" w:rsidRPr="00976925" w:rsidRDefault="00F12F0F" w:rsidP="002336FB">
      <w:pPr>
        <w:rPr>
          <w:color w:val="000000" w:themeColor="text1"/>
          <w:sz w:val="18"/>
          <w:szCs w:val="18"/>
          <w:highlight w:val="white"/>
        </w:rPr>
      </w:pPr>
      <w:r w:rsidRPr="008F5B12">
        <w:rPr>
          <w:color w:val="000000" w:themeColor="text1"/>
          <w:sz w:val="18"/>
          <w:szCs w:val="18"/>
          <w:highlight w:val="white"/>
        </w:rPr>
        <w:t>*: The question</w:t>
      </w:r>
      <w:r>
        <w:rPr>
          <w:b/>
          <w:bCs/>
          <w:color w:val="000000" w:themeColor="text1"/>
          <w:sz w:val="18"/>
          <w:szCs w:val="18"/>
          <w:highlight w:val="white"/>
        </w:rPr>
        <w:t xml:space="preserve"> “</w:t>
      </w:r>
      <w:r w:rsidRPr="0072051C">
        <w:rPr>
          <w:i/>
          <w:iCs/>
          <w:color w:val="000000" w:themeColor="text1"/>
          <w:sz w:val="18"/>
          <w:szCs w:val="18"/>
          <w:highlight w:val="white"/>
        </w:rPr>
        <w:t>Was the reference standard applied regardless of the index diagnostic test result?</w:t>
      </w:r>
      <w:r>
        <w:rPr>
          <w:i/>
          <w:iCs/>
          <w:color w:val="000000" w:themeColor="text1"/>
          <w:sz w:val="18"/>
          <w:szCs w:val="18"/>
          <w:highlight w:val="white"/>
        </w:rPr>
        <w:t xml:space="preserve">” </w:t>
      </w:r>
      <w:r w:rsidRPr="00712937">
        <w:rPr>
          <w:color w:val="000000" w:themeColor="text1"/>
          <w:sz w:val="18"/>
          <w:szCs w:val="18"/>
          <w:highlight w:val="white"/>
        </w:rPr>
        <w:t>was omitted as this was not applicable to these studies.</w:t>
      </w:r>
    </w:p>
    <w:p w14:paraId="158E04C3" w14:textId="77777777" w:rsidR="00567A02" w:rsidRDefault="00567A02" w:rsidP="002336FB">
      <w:pPr>
        <w:rPr>
          <w:b/>
          <w:color w:val="000000" w:themeColor="text1"/>
          <w:sz w:val="24"/>
          <w:szCs w:val="24"/>
          <w:highlight w:val="white"/>
        </w:rPr>
      </w:pPr>
    </w:p>
    <w:p w14:paraId="567C5EA2" w14:textId="77777777" w:rsidR="009F469B" w:rsidRPr="00F07E96" w:rsidRDefault="009F469B" w:rsidP="002336FB">
      <w:pPr>
        <w:rPr>
          <w:b/>
          <w:color w:val="000000" w:themeColor="text1"/>
          <w:sz w:val="24"/>
          <w:szCs w:val="24"/>
          <w:highlight w:val="white"/>
        </w:rPr>
        <w:sectPr w:rsidR="009F469B" w:rsidRPr="00F07E96" w:rsidSect="00F12F0F">
          <w:pgSz w:w="12240" w:h="15840" w:orient="landscape"/>
          <w:pgMar w:top="1440" w:right="1440" w:bottom="1440" w:left="1440" w:header="720" w:footer="720" w:gutter="0"/>
          <w:cols w:space="720" w:equalWidth="0">
            <w:col w:w="9360"/>
          </w:cols>
          <w:docGrid w:linePitch="299"/>
        </w:sectPr>
      </w:pPr>
    </w:p>
    <w:p w14:paraId="7C474AE2" w14:textId="177D2DBF" w:rsidR="00C110BA" w:rsidRPr="00F07E96" w:rsidRDefault="00567A02" w:rsidP="002336FB">
      <w:pPr>
        <w:rPr>
          <w:b/>
          <w:color w:val="000000" w:themeColor="text1"/>
          <w:sz w:val="18"/>
          <w:szCs w:val="18"/>
          <w:highlight w:val="white"/>
        </w:rPr>
      </w:pPr>
      <w:r w:rsidRPr="00F07E96">
        <w:rPr>
          <w:b/>
          <w:color w:val="000000" w:themeColor="text1"/>
          <w:sz w:val="18"/>
          <w:szCs w:val="18"/>
          <w:highlight w:val="white"/>
        </w:rPr>
        <w:lastRenderedPageBreak/>
        <w:t xml:space="preserve">Table 3. </w:t>
      </w:r>
      <w:r w:rsidR="00C3251A">
        <w:rPr>
          <w:b/>
          <w:color w:val="000000" w:themeColor="text1"/>
          <w:sz w:val="18"/>
          <w:szCs w:val="18"/>
          <w:highlight w:val="white"/>
        </w:rPr>
        <w:t>Selected o</w:t>
      </w:r>
      <w:r w:rsidR="00101314" w:rsidRPr="00F07E96">
        <w:rPr>
          <w:b/>
          <w:color w:val="000000" w:themeColor="text1"/>
          <w:sz w:val="18"/>
          <w:szCs w:val="18"/>
          <w:highlight w:val="white"/>
        </w:rPr>
        <w:t>verview</w:t>
      </w:r>
      <w:r w:rsidR="00C3251A">
        <w:rPr>
          <w:b/>
          <w:color w:val="000000" w:themeColor="text1"/>
          <w:sz w:val="18"/>
          <w:szCs w:val="18"/>
          <w:highlight w:val="white"/>
        </w:rPr>
        <w:t>*</w:t>
      </w:r>
      <w:r w:rsidR="00101314" w:rsidRPr="00F07E96">
        <w:rPr>
          <w:b/>
          <w:color w:val="000000" w:themeColor="text1"/>
          <w:sz w:val="18"/>
          <w:szCs w:val="18"/>
          <w:highlight w:val="white"/>
        </w:rPr>
        <w:t xml:space="preserve"> of symptom-based measuring scores</w:t>
      </w:r>
      <w:r w:rsidR="0045061D">
        <w:rPr>
          <w:b/>
          <w:color w:val="000000" w:themeColor="text1"/>
          <w:sz w:val="18"/>
          <w:szCs w:val="18"/>
          <w:highlight w:val="white"/>
        </w:rPr>
        <w:t xml:space="preserve"> for dyspnoea</w:t>
      </w:r>
      <w:r w:rsidR="00101314" w:rsidRPr="00F07E96">
        <w:rPr>
          <w:b/>
          <w:color w:val="000000" w:themeColor="text1"/>
          <w:sz w:val="18"/>
          <w:szCs w:val="18"/>
          <w:highlight w:val="white"/>
        </w:rPr>
        <w:t>:</w:t>
      </w:r>
    </w:p>
    <w:tbl>
      <w:tblPr>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33"/>
        <w:gridCol w:w="3827"/>
        <w:gridCol w:w="4060"/>
        <w:gridCol w:w="3240"/>
      </w:tblGrid>
      <w:tr w:rsidR="0026106C" w:rsidRPr="0026106C" w14:paraId="1D87A609" w14:textId="77777777" w:rsidTr="0026106C">
        <w:tc>
          <w:tcPr>
            <w:tcW w:w="1833" w:type="dxa"/>
            <w:shd w:val="clear" w:color="auto" w:fill="auto"/>
            <w:tcMar>
              <w:top w:w="100" w:type="dxa"/>
              <w:left w:w="100" w:type="dxa"/>
              <w:bottom w:w="100" w:type="dxa"/>
              <w:right w:w="100" w:type="dxa"/>
            </w:tcMar>
          </w:tcPr>
          <w:p w14:paraId="5610BEBB" w14:textId="77777777" w:rsidR="00C110BA" w:rsidRPr="0026106C" w:rsidRDefault="00101314" w:rsidP="00567A02">
            <w:pPr>
              <w:spacing w:before="0" w:after="0" w:line="240" w:lineRule="auto"/>
              <w:rPr>
                <w:b/>
                <w:color w:val="000000" w:themeColor="text1"/>
                <w:sz w:val="18"/>
                <w:szCs w:val="18"/>
                <w:highlight w:val="white"/>
              </w:rPr>
            </w:pPr>
            <w:r w:rsidRPr="0026106C">
              <w:rPr>
                <w:b/>
                <w:color w:val="000000" w:themeColor="text1"/>
                <w:sz w:val="18"/>
                <w:szCs w:val="18"/>
                <w:highlight w:val="white"/>
              </w:rPr>
              <w:t>Scale</w:t>
            </w:r>
          </w:p>
        </w:tc>
        <w:tc>
          <w:tcPr>
            <w:tcW w:w="3827" w:type="dxa"/>
            <w:shd w:val="clear" w:color="auto" w:fill="auto"/>
            <w:tcMar>
              <w:top w:w="100" w:type="dxa"/>
              <w:left w:w="100" w:type="dxa"/>
              <w:bottom w:w="100" w:type="dxa"/>
              <w:right w:w="100" w:type="dxa"/>
            </w:tcMar>
          </w:tcPr>
          <w:p w14:paraId="5B71E4DF" w14:textId="77777777" w:rsidR="00C110BA" w:rsidRPr="0026106C" w:rsidRDefault="00997AC1" w:rsidP="00567A02">
            <w:pPr>
              <w:spacing w:before="0" w:after="0" w:line="240" w:lineRule="auto"/>
              <w:rPr>
                <w:b/>
                <w:color w:val="000000" w:themeColor="text1"/>
                <w:sz w:val="18"/>
                <w:szCs w:val="18"/>
                <w:highlight w:val="white"/>
              </w:rPr>
            </w:pPr>
            <w:r w:rsidRPr="0026106C">
              <w:rPr>
                <w:b/>
                <w:color w:val="000000" w:themeColor="text1"/>
                <w:sz w:val="18"/>
                <w:szCs w:val="18"/>
                <w:highlight w:val="white"/>
              </w:rPr>
              <w:t xml:space="preserve">Structure and </w:t>
            </w:r>
            <w:r w:rsidR="00101314" w:rsidRPr="0026106C">
              <w:rPr>
                <w:b/>
                <w:color w:val="000000" w:themeColor="text1"/>
                <w:sz w:val="18"/>
                <w:szCs w:val="18"/>
                <w:highlight w:val="white"/>
              </w:rPr>
              <w:t>Target population</w:t>
            </w:r>
          </w:p>
        </w:tc>
        <w:tc>
          <w:tcPr>
            <w:tcW w:w="4060" w:type="dxa"/>
            <w:shd w:val="clear" w:color="auto" w:fill="auto"/>
            <w:tcMar>
              <w:top w:w="100" w:type="dxa"/>
              <w:left w:w="100" w:type="dxa"/>
              <w:bottom w:w="100" w:type="dxa"/>
              <w:right w:w="100" w:type="dxa"/>
            </w:tcMar>
          </w:tcPr>
          <w:p w14:paraId="3B663027" w14:textId="77777777" w:rsidR="00C110BA" w:rsidRPr="0026106C" w:rsidRDefault="00101314" w:rsidP="00567A02">
            <w:pPr>
              <w:spacing w:before="0" w:after="0" w:line="240" w:lineRule="auto"/>
              <w:rPr>
                <w:b/>
                <w:color w:val="000000" w:themeColor="text1"/>
                <w:sz w:val="18"/>
                <w:szCs w:val="18"/>
                <w:highlight w:val="white"/>
              </w:rPr>
            </w:pPr>
            <w:r w:rsidRPr="0026106C">
              <w:rPr>
                <w:b/>
                <w:color w:val="000000" w:themeColor="text1"/>
                <w:sz w:val="18"/>
                <w:szCs w:val="18"/>
                <w:highlight w:val="white"/>
              </w:rPr>
              <w:t>Validation</w:t>
            </w:r>
          </w:p>
        </w:tc>
        <w:tc>
          <w:tcPr>
            <w:tcW w:w="3240" w:type="dxa"/>
            <w:shd w:val="clear" w:color="auto" w:fill="auto"/>
            <w:tcMar>
              <w:top w:w="100" w:type="dxa"/>
              <w:left w:w="100" w:type="dxa"/>
              <w:bottom w:w="100" w:type="dxa"/>
              <w:right w:w="100" w:type="dxa"/>
            </w:tcMar>
          </w:tcPr>
          <w:p w14:paraId="5A522CA5" w14:textId="0AEC42CE" w:rsidR="00C110BA" w:rsidRPr="0026106C" w:rsidRDefault="00101314" w:rsidP="00567A02">
            <w:pPr>
              <w:spacing w:before="0" w:after="0" w:line="240" w:lineRule="auto"/>
              <w:rPr>
                <w:b/>
                <w:color w:val="000000" w:themeColor="text1"/>
                <w:sz w:val="18"/>
                <w:szCs w:val="18"/>
                <w:highlight w:val="white"/>
              </w:rPr>
            </w:pPr>
            <w:r w:rsidRPr="0026106C">
              <w:rPr>
                <w:b/>
                <w:color w:val="000000" w:themeColor="text1"/>
                <w:sz w:val="18"/>
                <w:szCs w:val="18"/>
                <w:highlight w:val="white"/>
              </w:rPr>
              <w:t xml:space="preserve">Applicable to </w:t>
            </w:r>
            <w:r w:rsidR="00DD3DE4" w:rsidRPr="0026106C">
              <w:rPr>
                <w:b/>
                <w:color w:val="000000" w:themeColor="text1"/>
                <w:sz w:val="18"/>
                <w:szCs w:val="18"/>
                <w:highlight w:val="white"/>
              </w:rPr>
              <w:t>new onset dyspnoea?</w:t>
            </w:r>
          </w:p>
        </w:tc>
      </w:tr>
      <w:tr w:rsidR="0026106C" w:rsidRPr="0026106C" w14:paraId="6AB810F9" w14:textId="77777777" w:rsidTr="0026106C">
        <w:tc>
          <w:tcPr>
            <w:tcW w:w="1833" w:type="dxa"/>
            <w:shd w:val="clear" w:color="auto" w:fill="auto"/>
            <w:tcMar>
              <w:top w:w="100" w:type="dxa"/>
              <w:left w:w="100" w:type="dxa"/>
              <w:bottom w:w="100" w:type="dxa"/>
              <w:right w:w="100" w:type="dxa"/>
            </w:tcMar>
          </w:tcPr>
          <w:p w14:paraId="77F976EA" w14:textId="1C1EC05E"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Medical Research Council (MRC) Scale</w:t>
            </w:r>
            <w:r w:rsidR="00871706" w:rsidRPr="0026106C">
              <w:rPr>
                <w:bCs/>
                <w:color w:val="000000" w:themeColor="text1"/>
                <w:sz w:val="18"/>
                <w:szCs w:val="18"/>
                <w:highlight w:val="white"/>
              </w:rPr>
              <w:fldChar w:fldCharType="begin" w:fldLock="1"/>
            </w:r>
            <w:r w:rsidR="00EE003C" w:rsidRPr="0026106C">
              <w:rPr>
                <w:bCs/>
                <w:color w:val="000000" w:themeColor="text1"/>
                <w:sz w:val="18"/>
                <w:szCs w:val="18"/>
                <w:highlight w:val="white"/>
              </w:rPr>
              <w:instrText>ADDIN CSL_CITATION {"citationItems":[{"id":"ITEM-1","itemData":{"DOI":"10.1136/thx.2010.150953.19","ISSN":"0040-6376","author":[{"dropping-particle":"","family":"Steer","given":"J.","non-dropping-particle":"","parse-names":false,"suffix":""},{"dropping-particle":"","family":"Norman","given":"E.","non-dropping-particle":"","parse-names":false,"suffix":""},{"dropping-particle":"","family":"Afolabi","given":"G.","non-dropping-particle":"","parse-names":false,"suffix":""},{"dropping-particle":"","family":"Gibson","given":"G. J.","non-dropping-particle":"","parse-names":false,"suffix":""},{"dropping-particle":"","family":"Bourke","given":"S. C.","non-dropping-particle":"","parse-names":false,"suffix":""}],"container-title":"Thorax","id":"ITEM-1","issue":"Suppl 4","issued":{"date-parts":[["2010","12","1"]]},"page":"A76-A76","title":"S168 Evaluation of the MRC dyspnoea scale and a novel extended version in prediction of in-hospital death and early readmission in acute exacerbations of COPD","type":"article-journal","volume":"65"},"uris":["http://www.mendeley.com/documents/?uuid=3eccaa41-0dc0-41c5-b25f-ffc29d788d08"]}],"mendeley":{"formattedCitation":"&lt;sup&gt;12&lt;/sup&gt;","plainTextFormattedCitation":"12","previouslyFormattedCitation":"&lt;sup&gt;12&lt;/sup&gt;"},"properties":{"noteIndex":0},"schema":"https://github.com/citation-style-language/schema/raw/master/csl-citation.json"}</w:instrText>
            </w:r>
            <w:r w:rsidR="00871706" w:rsidRPr="0026106C">
              <w:rPr>
                <w:bCs/>
                <w:color w:val="000000" w:themeColor="text1"/>
                <w:sz w:val="18"/>
                <w:szCs w:val="18"/>
                <w:highlight w:val="white"/>
              </w:rPr>
              <w:fldChar w:fldCharType="separate"/>
            </w:r>
            <w:r w:rsidR="005C3FDD" w:rsidRPr="0026106C">
              <w:rPr>
                <w:bCs/>
                <w:noProof/>
                <w:color w:val="000000" w:themeColor="text1"/>
                <w:sz w:val="18"/>
                <w:szCs w:val="18"/>
                <w:highlight w:val="white"/>
                <w:vertAlign w:val="superscript"/>
              </w:rPr>
              <w:t>12</w:t>
            </w:r>
            <w:r w:rsidR="00871706" w:rsidRPr="0026106C">
              <w:rPr>
                <w:bCs/>
                <w:color w:val="000000" w:themeColor="text1"/>
                <w:sz w:val="18"/>
                <w:szCs w:val="18"/>
                <w:highlight w:val="white"/>
              </w:rPr>
              <w:fldChar w:fldCharType="end"/>
            </w:r>
          </w:p>
        </w:tc>
        <w:tc>
          <w:tcPr>
            <w:tcW w:w="3827" w:type="dxa"/>
            <w:shd w:val="clear" w:color="auto" w:fill="auto"/>
            <w:tcMar>
              <w:top w:w="100" w:type="dxa"/>
              <w:left w:w="100" w:type="dxa"/>
              <w:bottom w:w="100" w:type="dxa"/>
              <w:right w:w="100" w:type="dxa"/>
            </w:tcMar>
          </w:tcPr>
          <w:p w14:paraId="3853F26F" w14:textId="24CB881E"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 xml:space="preserve">Measures </w:t>
            </w:r>
            <w:hyperlink r:id="rId10" w:anchor="definition">
              <w:r w:rsidRPr="0026106C">
                <w:rPr>
                  <w:rStyle w:val="Hyperlink"/>
                  <w:color w:val="000000" w:themeColor="text1"/>
                  <w:sz w:val="18"/>
                  <w:szCs w:val="18"/>
                  <w:highlight w:val="white"/>
                  <w:u w:val="none"/>
                </w:rPr>
                <w:t>perceived respiratory disability</w:t>
              </w:r>
            </w:hyperlink>
            <w:r w:rsidR="00DD3DE4" w:rsidRPr="0026106C">
              <w:rPr>
                <w:color w:val="000000" w:themeColor="text1"/>
                <w:sz w:val="18"/>
                <w:szCs w:val="18"/>
                <w:highlight w:val="white"/>
              </w:rPr>
              <w:t xml:space="preserve"> by matching tasks</w:t>
            </w:r>
            <w:r w:rsidRPr="0026106C">
              <w:rPr>
                <w:color w:val="000000" w:themeColor="text1"/>
                <w:sz w:val="18"/>
                <w:szCs w:val="18"/>
                <w:highlight w:val="white"/>
              </w:rPr>
              <w:t xml:space="preserve"> </w:t>
            </w:r>
          </w:p>
          <w:p w14:paraId="078856E2" w14:textId="033F51A2" w:rsidR="00C110BA" w:rsidRPr="0026106C" w:rsidRDefault="00101314" w:rsidP="0026106C">
            <w:pPr>
              <w:spacing w:before="0" w:after="0"/>
              <w:rPr>
                <w:color w:val="000000" w:themeColor="text1"/>
                <w:sz w:val="18"/>
                <w:szCs w:val="18"/>
              </w:rPr>
            </w:pPr>
            <w:r w:rsidRPr="0026106C">
              <w:rPr>
                <w:bCs/>
                <w:color w:val="000000" w:themeColor="text1"/>
                <w:sz w:val="18"/>
                <w:szCs w:val="18"/>
                <w:highlight w:val="white"/>
              </w:rPr>
              <w:t>with breathlessness</w:t>
            </w:r>
            <w:r w:rsidR="0026106C" w:rsidRPr="0026106C">
              <w:rPr>
                <w:bCs/>
                <w:color w:val="000000" w:themeColor="text1"/>
                <w:sz w:val="18"/>
                <w:szCs w:val="18"/>
                <w:highlight w:val="white"/>
              </w:rPr>
              <w:t xml:space="preserve">, </w:t>
            </w:r>
            <w:proofErr w:type="spellStart"/>
            <w:r w:rsidR="0026106C" w:rsidRPr="0026106C">
              <w:rPr>
                <w:bCs/>
                <w:color w:val="000000" w:themeColor="text1"/>
                <w:sz w:val="18"/>
                <w:szCs w:val="18"/>
                <w:highlight w:val="white"/>
              </w:rPr>
              <w:t>eg.</w:t>
            </w:r>
            <w:proofErr w:type="spellEnd"/>
            <w:r w:rsidRPr="0026106C">
              <w:rPr>
                <w:bCs/>
                <w:color w:val="000000" w:themeColor="text1"/>
                <w:sz w:val="18"/>
                <w:szCs w:val="18"/>
                <w:highlight w:val="white"/>
              </w:rPr>
              <w:t xml:space="preserve"> </w:t>
            </w:r>
            <w:r w:rsidR="0026106C" w:rsidRPr="0026106C">
              <w:rPr>
                <w:bCs/>
                <w:color w:val="000000" w:themeColor="text1"/>
                <w:sz w:val="18"/>
                <w:szCs w:val="18"/>
              </w:rPr>
              <w:t>‘</w:t>
            </w:r>
            <w:r w:rsidR="00DD3DE4" w:rsidRPr="0026106C">
              <w:rPr>
                <w:color w:val="000000" w:themeColor="text1"/>
                <w:sz w:val="18"/>
                <w:szCs w:val="18"/>
                <w:shd w:val="clear" w:color="auto" w:fill="FFFFFF"/>
              </w:rPr>
              <w:t>I only get breathless with strenuous exertion’ (Grade 1) or ‘I am too breathless to leave the house’ (Grade 5).</w:t>
            </w:r>
            <w:r w:rsidR="00DD3DE4" w:rsidRPr="0026106C">
              <w:rPr>
                <w:rStyle w:val="apple-converted-space"/>
                <w:color w:val="000000" w:themeColor="text1"/>
                <w:sz w:val="18"/>
                <w:szCs w:val="18"/>
                <w:shd w:val="clear" w:color="auto" w:fill="FFFFFF"/>
              </w:rPr>
              <w:t> </w:t>
            </w:r>
          </w:p>
          <w:p w14:paraId="1479C551" w14:textId="2F2B6588"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Used in COPD, IPF, Sarcoidosis, pulmonary rehabilitation</w:t>
            </w:r>
            <w:r w:rsidR="00DD3DE4" w:rsidRPr="0026106C">
              <w:rPr>
                <w:bCs/>
                <w:color w:val="000000" w:themeColor="text1"/>
                <w:sz w:val="18"/>
                <w:szCs w:val="18"/>
                <w:highlight w:val="white"/>
              </w:rPr>
              <w:t>, chronic heart failure</w:t>
            </w:r>
            <w:r w:rsidRPr="0026106C">
              <w:rPr>
                <w:bCs/>
                <w:color w:val="000000" w:themeColor="text1"/>
                <w:sz w:val="18"/>
                <w:szCs w:val="18"/>
                <w:highlight w:val="white"/>
              </w:rPr>
              <w:t>.</w:t>
            </w:r>
          </w:p>
        </w:tc>
        <w:tc>
          <w:tcPr>
            <w:tcW w:w="4060" w:type="dxa"/>
            <w:shd w:val="clear" w:color="auto" w:fill="auto"/>
            <w:tcMar>
              <w:top w:w="100" w:type="dxa"/>
              <w:left w:w="100" w:type="dxa"/>
              <w:bottom w:w="100" w:type="dxa"/>
              <w:right w:w="100" w:type="dxa"/>
            </w:tcMar>
          </w:tcPr>
          <w:p w14:paraId="3DF80D21" w14:textId="2EE2D64C" w:rsidR="00DD3DE4" w:rsidRPr="0026106C" w:rsidRDefault="00DD3DE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 xml:space="preserve">Widely used for past 50 years due to simplicity. </w:t>
            </w:r>
            <w:r w:rsidR="00101314" w:rsidRPr="0026106C">
              <w:rPr>
                <w:bCs/>
                <w:color w:val="000000" w:themeColor="text1"/>
                <w:sz w:val="18"/>
                <w:szCs w:val="18"/>
                <w:highlight w:val="white"/>
              </w:rPr>
              <w:t>Validated for COPD</w:t>
            </w:r>
            <w:r w:rsidR="009F469B" w:rsidRPr="0026106C">
              <w:rPr>
                <w:bCs/>
                <w:color w:val="000000" w:themeColor="text1"/>
                <w:sz w:val="18"/>
                <w:szCs w:val="18"/>
                <w:highlight w:val="white"/>
              </w:rPr>
              <w:t>.</w:t>
            </w:r>
            <w:r w:rsidR="00997AC1" w:rsidRPr="0026106C">
              <w:rPr>
                <w:bCs/>
                <w:color w:val="000000" w:themeColor="text1"/>
                <w:sz w:val="18"/>
                <w:szCs w:val="18"/>
                <w:highlight w:val="white"/>
              </w:rPr>
              <w:fldChar w:fldCharType="begin" w:fldLock="1"/>
            </w:r>
            <w:r w:rsidR="00EE003C" w:rsidRPr="0026106C">
              <w:rPr>
                <w:bCs/>
                <w:color w:val="000000" w:themeColor="text1"/>
                <w:sz w:val="18"/>
                <w:szCs w:val="18"/>
                <w:highlight w:val="white"/>
              </w:rPr>
              <w:instrText>ADDIN CSL_CITATION {"citationItems":[{"id":"ITEM-1","itemData":{"DOI":"10.1136/thx.2010.150953.19","ISSN":"0040-6376","author":[{"dropping-particle":"","family":"Steer","given":"J.","non-dropping-particle":"","parse-names":false,"suffix":""},{"dropping-particle":"","family":"Norman","given":"E.","non-dropping-particle":"","parse-names":false,"suffix":""},{"dropping-particle":"","family":"Afolabi","given":"G.","non-dropping-particle":"","parse-names":false,"suffix":""},{"dropping-particle":"","family":"Gibson","given":"G. J.","non-dropping-particle":"","parse-names":false,"suffix":""},{"dropping-particle":"","family":"Bourke","given":"S. C.","non-dropping-particle":"","parse-names":false,"suffix":""}],"container-title":"Thorax","id":"ITEM-1","issue":"Suppl 4","issued":{"date-parts":[["2010","12","1"]]},"page":"A76-A76","title":"S168 Evaluation of the MRC dyspnoea scale and a novel extended version in prediction of in-hospital death and early readmission in acute exacerbations of COPD","type":"article-journal","volume":"65"},"uris":["http://www.mendeley.com/documents/?uuid=3eccaa41-0dc0-41c5-b25f-ffc29d788d08"]}],"mendeley":{"formattedCitation":"&lt;sup&gt;12&lt;/sup&gt;","plainTextFormattedCitation":"12","previouslyFormattedCitation":"&lt;sup&gt;12&lt;/sup&gt;"},"properties":{"noteIndex":0},"schema":"https://github.com/citation-style-language/schema/raw/master/csl-citation.json"}</w:instrText>
            </w:r>
            <w:r w:rsidR="00997AC1" w:rsidRPr="0026106C">
              <w:rPr>
                <w:bCs/>
                <w:color w:val="000000" w:themeColor="text1"/>
                <w:sz w:val="18"/>
                <w:szCs w:val="18"/>
                <w:highlight w:val="white"/>
              </w:rPr>
              <w:fldChar w:fldCharType="separate"/>
            </w:r>
            <w:r w:rsidR="005C3FDD" w:rsidRPr="0026106C">
              <w:rPr>
                <w:bCs/>
                <w:noProof/>
                <w:color w:val="000000" w:themeColor="text1"/>
                <w:sz w:val="18"/>
                <w:szCs w:val="18"/>
                <w:highlight w:val="white"/>
                <w:vertAlign w:val="superscript"/>
              </w:rPr>
              <w:t>12</w:t>
            </w:r>
            <w:r w:rsidR="00997AC1" w:rsidRPr="0026106C">
              <w:rPr>
                <w:bCs/>
                <w:color w:val="000000" w:themeColor="text1"/>
                <w:sz w:val="18"/>
                <w:szCs w:val="18"/>
                <w:highlight w:val="white"/>
              </w:rPr>
              <w:fldChar w:fldCharType="end"/>
            </w:r>
          </w:p>
          <w:p w14:paraId="489CC9B7" w14:textId="16A48F2F" w:rsidR="00D0108C" w:rsidRPr="0026106C" w:rsidRDefault="00DD3DE4" w:rsidP="0026106C">
            <w:pPr>
              <w:spacing w:before="0" w:after="0"/>
              <w:rPr>
                <w:color w:val="000000" w:themeColor="text1"/>
                <w:sz w:val="18"/>
                <w:szCs w:val="18"/>
              </w:rPr>
            </w:pPr>
            <w:r w:rsidRPr="0026106C">
              <w:rPr>
                <w:bCs/>
                <w:color w:val="000000" w:themeColor="text1"/>
                <w:sz w:val="18"/>
                <w:szCs w:val="18"/>
              </w:rPr>
              <w:t>Is</w:t>
            </w:r>
            <w:r w:rsidRPr="0026106C">
              <w:rPr>
                <w:color w:val="000000" w:themeColor="text1"/>
                <w:sz w:val="18"/>
                <w:szCs w:val="18"/>
                <w:shd w:val="clear" w:color="auto" w:fill="FFFFFF"/>
              </w:rPr>
              <w:t xml:space="preserve"> insensitivity to change, for example in COPD it is uncommon for someone to move between grades.</w:t>
            </w:r>
            <w:r w:rsidR="0026106C" w:rsidRPr="0026106C" w:rsidDel="0026106C">
              <w:rPr>
                <w:color w:val="000000" w:themeColor="text1"/>
                <w:sz w:val="18"/>
                <w:szCs w:val="18"/>
                <w:shd w:val="clear" w:color="auto" w:fill="FFFFFF"/>
              </w:rPr>
              <w:t xml:space="preserve"> </w:t>
            </w:r>
            <w:r w:rsidR="0026106C" w:rsidRPr="0026106C">
              <w:rPr>
                <w:color w:val="000000" w:themeColor="text1"/>
                <w:sz w:val="18"/>
                <w:szCs w:val="18"/>
                <w:shd w:val="clear" w:color="auto" w:fill="FFFFFF"/>
              </w:rPr>
              <w:fldChar w:fldCharType="begin" w:fldLock="1"/>
            </w:r>
            <w:r w:rsidR="0026106C" w:rsidRPr="0026106C">
              <w:rPr>
                <w:color w:val="000000" w:themeColor="text1"/>
                <w:sz w:val="18"/>
                <w:szCs w:val="18"/>
                <w:shd w:val="clear" w:color="auto" w:fill="FFFFFF"/>
              </w:rPr>
              <w:instrText>ADDIN CSL_CITATION {"citationItems":[{"id":"ITEM-1","itemData":{"DOI":"10.1093/occmed/kqm162","author":[{"dropping-particle":"","family":"Stenton","given":"Chris","non-dropping-particle":"","parse-names":false,"suffix":""}],"id":"ITEM-1","issued":{"date-parts":[["2008"]]},"page":"226-227","title":"The MRC breathlessness scale","type":"article-journal"},"uris":["http://www.mendeley.com/documents/?uuid=45743b6f-a740-47cb-aee7-277b36f434d2"]}],"mendeley":{"formattedCitation":"&lt;sup&gt;13&lt;/sup&gt;","plainTextFormattedCitation":"13","previouslyFormattedCitation":"&lt;sup&gt;13&lt;/sup&gt;"},"properties":{"noteIndex":0},"schema":"https://github.com/citation-style-language/schema/raw/master/csl-citation.json"}</w:instrText>
            </w:r>
            <w:r w:rsidR="0026106C" w:rsidRPr="0026106C">
              <w:rPr>
                <w:color w:val="000000" w:themeColor="text1"/>
                <w:sz w:val="18"/>
                <w:szCs w:val="18"/>
                <w:shd w:val="clear" w:color="auto" w:fill="FFFFFF"/>
              </w:rPr>
              <w:fldChar w:fldCharType="separate"/>
            </w:r>
            <w:r w:rsidR="0026106C" w:rsidRPr="0026106C">
              <w:rPr>
                <w:noProof/>
                <w:color w:val="000000" w:themeColor="text1"/>
                <w:sz w:val="18"/>
                <w:szCs w:val="18"/>
                <w:shd w:val="clear" w:color="auto" w:fill="FFFFFF"/>
                <w:vertAlign w:val="superscript"/>
              </w:rPr>
              <w:t>13</w:t>
            </w:r>
            <w:r w:rsidR="0026106C" w:rsidRPr="0026106C">
              <w:rPr>
                <w:color w:val="000000" w:themeColor="text1"/>
                <w:sz w:val="18"/>
                <w:szCs w:val="18"/>
                <w:shd w:val="clear" w:color="auto" w:fill="FFFFFF"/>
              </w:rPr>
              <w:fldChar w:fldCharType="end"/>
            </w:r>
          </w:p>
          <w:p w14:paraId="1E936428" w14:textId="1FB2DC7E" w:rsidR="00DD3DE4" w:rsidRPr="0026106C" w:rsidRDefault="00DD3DE4" w:rsidP="0026106C">
            <w:pPr>
              <w:spacing w:before="0" w:after="0"/>
              <w:rPr>
                <w:bCs/>
                <w:color w:val="000000" w:themeColor="text1"/>
                <w:sz w:val="18"/>
                <w:szCs w:val="18"/>
                <w:highlight w:val="white"/>
              </w:rPr>
            </w:pPr>
          </w:p>
        </w:tc>
        <w:tc>
          <w:tcPr>
            <w:tcW w:w="3240" w:type="dxa"/>
            <w:shd w:val="clear" w:color="auto" w:fill="auto"/>
            <w:tcMar>
              <w:top w:w="100" w:type="dxa"/>
              <w:left w:w="100" w:type="dxa"/>
              <w:bottom w:w="100" w:type="dxa"/>
              <w:right w:w="100" w:type="dxa"/>
            </w:tcMar>
          </w:tcPr>
          <w:p w14:paraId="29DEFDB7" w14:textId="1721D80C" w:rsidR="00C110BA" w:rsidRPr="0026106C" w:rsidRDefault="00F07E96"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This scale is the s</w:t>
            </w:r>
            <w:r w:rsidR="00101314" w:rsidRPr="0026106C">
              <w:rPr>
                <w:bCs/>
                <w:color w:val="000000" w:themeColor="text1"/>
                <w:sz w:val="18"/>
                <w:szCs w:val="18"/>
                <w:highlight w:val="white"/>
              </w:rPr>
              <w:t>impl</w:t>
            </w:r>
            <w:r w:rsidR="00D01D49" w:rsidRPr="0026106C">
              <w:rPr>
                <w:bCs/>
                <w:color w:val="000000" w:themeColor="text1"/>
                <w:sz w:val="18"/>
                <w:szCs w:val="18"/>
                <w:highlight w:val="white"/>
              </w:rPr>
              <w:t>e</w:t>
            </w:r>
            <w:r w:rsidR="002D0523" w:rsidRPr="0026106C">
              <w:rPr>
                <w:bCs/>
                <w:color w:val="000000" w:themeColor="text1"/>
                <w:sz w:val="18"/>
                <w:szCs w:val="18"/>
                <w:highlight w:val="white"/>
              </w:rPr>
              <w:t xml:space="preserve">st to </w:t>
            </w:r>
            <w:r w:rsidR="00101314" w:rsidRPr="0026106C">
              <w:rPr>
                <w:bCs/>
                <w:color w:val="000000" w:themeColor="text1"/>
                <w:sz w:val="18"/>
                <w:szCs w:val="18"/>
                <w:highlight w:val="white"/>
              </w:rPr>
              <w:t>use</w:t>
            </w:r>
            <w:r w:rsidRPr="0026106C">
              <w:rPr>
                <w:bCs/>
                <w:color w:val="000000" w:themeColor="text1"/>
                <w:sz w:val="18"/>
                <w:szCs w:val="18"/>
                <w:highlight w:val="white"/>
              </w:rPr>
              <w:t xml:space="preserve"> </w:t>
            </w:r>
            <w:proofErr w:type="gramStart"/>
            <w:r w:rsidR="00B352D0">
              <w:rPr>
                <w:bCs/>
                <w:color w:val="000000" w:themeColor="text1"/>
                <w:sz w:val="18"/>
                <w:szCs w:val="18"/>
                <w:highlight w:val="white"/>
              </w:rPr>
              <w:t xml:space="preserve">but </w:t>
            </w:r>
            <w:r w:rsidR="0072051C" w:rsidRPr="0026106C">
              <w:rPr>
                <w:bCs/>
                <w:color w:val="000000" w:themeColor="text1"/>
                <w:sz w:val="18"/>
                <w:szCs w:val="18"/>
                <w:highlight w:val="white"/>
              </w:rPr>
              <w:t xml:space="preserve"> has</w:t>
            </w:r>
            <w:proofErr w:type="gramEnd"/>
            <w:r w:rsidR="0072051C" w:rsidRPr="0026106C">
              <w:rPr>
                <w:bCs/>
                <w:color w:val="000000" w:themeColor="text1"/>
                <w:sz w:val="18"/>
                <w:szCs w:val="18"/>
                <w:highlight w:val="white"/>
              </w:rPr>
              <w:t xml:space="preserve"> not been validated as a tool for the management of </w:t>
            </w:r>
            <w:r w:rsidR="00DD3DE4" w:rsidRPr="0026106C">
              <w:rPr>
                <w:bCs/>
                <w:color w:val="000000" w:themeColor="text1"/>
                <w:sz w:val="18"/>
                <w:szCs w:val="18"/>
                <w:highlight w:val="white"/>
              </w:rPr>
              <w:t xml:space="preserve">new </w:t>
            </w:r>
            <w:r w:rsidR="0072051C" w:rsidRPr="0026106C">
              <w:rPr>
                <w:bCs/>
                <w:color w:val="000000" w:themeColor="text1"/>
                <w:sz w:val="18"/>
                <w:szCs w:val="18"/>
                <w:highlight w:val="white"/>
              </w:rPr>
              <w:t>onset dyspnoea in previously well patients</w:t>
            </w:r>
            <w:r w:rsidR="00DD3DE4" w:rsidRPr="0026106C">
              <w:rPr>
                <w:bCs/>
                <w:color w:val="000000" w:themeColor="text1"/>
                <w:sz w:val="18"/>
                <w:szCs w:val="18"/>
                <w:highlight w:val="white"/>
              </w:rPr>
              <w:t>, or matched to oxygen saturation levels.</w:t>
            </w:r>
          </w:p>
        </w:tc>
      </w:tr>
      <w:tr w:rsidR="0026106C" w:rsidRPr="0026106C" w14:paraId="5E9422F5" w14:textId="77777777" w:rsidTr="0026106C">
        <w:tc>
          <w:tcPr>
            <w:tcW w:w="1833" w:type="dxa"/>
            <w:shd w:val="clear" w:color="auto" w:fill="auto"/>
            <w:tcMar>
              <w:top w:w="100" w:type="dxa"/>
              <w:left w:w="100" w:type="dxa"/>
              <w:bottom w:w="100" w:type="dxa"/>
              <w:right w:w="100" w:type="dxa"/>
            </w:tcMar>
          </w:tcPr>
          <w:p w14:paraId="327002D7" w14:textId="7C3F11E3" w:rsidR="00C110BA" w:rsidRPr="0026106C" w:rsidRDefault="003819AA" w:rsidP="00567A02">
            <w:pPr>
              <w:spacing w:before="0" w:after="0" w:line="240" w:lineRule="auto"/>
              <w:rPr>
                <w:bCs/>
                <w:color w:val="000000" w:themeColor="text1"/>
                <w:sz w:val="18"/>
                <w:szCs w:val="18"/>
                <w:highlight w:val="white"/>
              </w:rPr>
            </w:pPr>
            <w:hyperlink r:id="rId11" w:history="1">
              <w:r w:rsidR="00101314" w:rsidRPr="0026106C">
                <w:rPr>
                  <w:rStyle w:val="Hyperlink"/>
                  <w:bCs/>
                  <w:color w:val="000000" w:themeColor="text1"/>
                  <w:sz w:val="18"/>
                  <w:szCs w:val="18"/>
                  <w:highlight w:val="white"/>
                  <w:u w:val="none"/>
                </w:rPr>
                <w:t>Oxygen Cost Diagram (OCD)</w:t>
              </w:r>
            </w:hyperlink>
            <w:r w:rsidR="00997AC1" w:rsidRPr="0026106C">
              <w:rPr>
                <w:bCs/>
                <w:color w:val="000000" w:themeColor="text1"/>
                <w:sz w:val="18"/>
                <w:szCs w:val="18"/>
                <w:highlight w:val="white"/>
              </w:rPr>
              <w:fldChar w:fldCharType="begin" w:fldLock="1"/>
            </w:r>
            <w:r w:rsidR="0026106C" w:rsidRPr="0026106C">
              <w:rPr>
                <w:bCs/>
                <w:color w:val="000000" w:themeColor="text1"/>
                <w:sz w:val="18"/>
                <w:szCs w:val="18"/>
                <w:highlight w:val="white"/>
              </w:rPr>
              <w:instrText>ADDIN CSL_CITATION {"citationItems":[{"id":"ITEM-1","itemData":{"author":[{"dropping-particle":"","family":"Sens","given":"J I J A I","non-dropping-particle":"","parse-names":false,"suffix":""},{"dropping-particle":"","family":"Breitenstein","given":"E","non-dropping-particle":"","parse-names":false,"suffix":""},{"dropping-particle":"","family":"Rochat","given":"T","non-dropping-particle":"","parse-names":false,"suffix":""},{"dropping-particle":"","family":"Fitting","given":"J W","non-dropping-particle":"","parse-names":false,"suffix":""}],"id":"ITEM-1","issue":"815","issued":{"date-parts":[["1999"]]},"title":"Does the ‘ Oxygen cost diagram ’ reflect changes in six minute walking distance in follow up studies ?","type":"article-journal"},"uris":["http://www.mendeley.com/documents/?uuid=8d3ee9cc-7c14-4f5f-b5ad-29218bfbaba6"]}],"mendeley":{"formattedCitation":"&lt;sup&gt;14&lt;/sup&gt;","plainTextFormattedCitation":"14","previouslyFormattedCitation":"&lt;sup&gt;14&lt;/sup&gt;"},"properties":{"noteIndex":0},"schema":"https://github.com/citation-style-language/schema/raw/master/csl-citation.json"}</w:instrText>
            </w:r>
            <w:r w:rsidR="00997AC1" w:rsidRPr="0026106C">
              <w:rPr>
                <w:bCs/>
                <w:color w:val="000000" w:themeColor="text1"/>
                <w:sz w:val="18"/>
                <w:szCs w:val="18"/>
                <w:highlight w:val="white"/>
              </w:rPr>
              <w:fldChar w:fldCharType="separate"/>
            </w:r>
            <w:r w:rsidR="0026106C" w:rsidRPr="0026106C">
              <w:rPr>
                <w:bCs/>
                <w:noProof/>
                <w:color w:val="000000" w:themeColor="text1"/>
                <w:sz w:val="18"/>
                <w:szCs w:val="18"/>
                <w:highlight w:val="white"/>
                <w:vertAlign w:val="superscript"/>
              </w:rPr>
              <w:t>14</w:t>
            </w:r>
            <w:r w:rsidR="00997AC1" w:rsidRPr="0026106C">
              <w:rPr>
                <w:bCs/>
                <w:color w:val="000000" w:themeColor="text1"/>
                <w:sz w:val="18"/>
                <w:szCs w:val="18"/>
                <w:highlight w:val="white"/>
              </w:rPr>
              <w:fldChar w:fldCharType="end"/>
            </w:r>
          </w:p>
        </w:tc>
        <w:tc>
          <w:tcPr>
            <w:tcW w:w="3827" w:type="dxa"/>
            <w:shd w:val="clear" w:color="auto" w:fill="auto"/>
            <w:tcMar>
              <w:top w:w="100" w:type="dxa"/>
              <w:left w:w="100" w:type="dxa"/>
              <w:bottom w:w="100" w:type="dxa"/>
              <w:right w:w="100" w:type="dxa"/>
            </w:tcMar>
          </w:tcPr>
          <w:p w14:paraId="0E29B88B"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 xml:space="preserve">Measures patient’s evaluation of </w:t>
            </w:r>
            <w:r w:rsidR="00997AC1" w:rsidRPr="0026106C">
              <w:rPr>
                <w:bCs/>
                <w:color w:val="000000" w:themeColor="text1"/>
                <w:sz w:val="18"/>
                <w:szCs w:val="18"/>
                <w:highlight w:val="white"/>
              </w:rPr>
              <w:t xml:space="preserve">their </w:t>
            </w:r>
            <w:r w:rsidRPr="0026106C">
              <w:rPr>
                <w:bCs/>
                <w:color w:val="000000" w:themeColor="text1"/>
                <w:sz w:val="18"/>
                <w:szCs w:val="18"/>
                <w:highlight w:val="white"/>
              </w:rPr>
              <w:t>tolerance to exercise</w:t>
            </w:r>
          </w:p>
        </w:tc>
        <w:tc>
          <w:tcPr>
            <w:tcW w:w="4060" w:type="dxa"/>
            <w:shd w:val="clear" w:color="auto" w:fill="auto"/>
            <w:tcMar>
              <w:top w:w="100" w:type="dxa"/>
              <w:left w:w="100" w:type="dxa"/>
              <w:bottom w:w="100" w:type="dxa"/>
              <w:right w:w="100" w:type="dxa"/>
            </w:tcMar>
          </w:tcPr>
          <w:p w14:paraId="71995614" w14:textId="123ED5EE"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 xml:space="preserve">Used in COPD clinical  trials, but does not correlate with other measures (FEV, FVC, </w:t>
            </w:r>
            <w:proofErr w:type="spellStart"/>
            <w:r w:rsidRPr="0026106C">
              <w:rPr>
                <w:bCs/>
                <w:color w:val="000000" w:themeColor="text1"/>
                <w:sz w:val="18"/>
                <w:szCs w:val="18"/>
                <w:highlight w:val="white"/>
              </w:rPr>
              <w:t>PaOz</w:t>
            </w:r>
            <w:proofErr w:type="spellEnd"/>
            <w:r w:rsidRPr="0026106C">
              <w:rPr>
                <w:bCs/>
                <w:color w:val="000000" w:themeColor="text1"/>
                <w:sz w:val="18"/>
                <w:szCs w:val="18"/>
                <w:highlight w:val="white"/>
              </w:rPr>
              <w:t>, PaC02,)</w:t>
            </w:r>
            <w:r w:rsidR="00997AC1" w:rsidRPr="0026106C">
              <w:rPr>
                <w:bCs/>
                <w:color w:val="000000" w:themeColor="text1"/>
                <w:sz w:val="18"/>
                <w:szCs w:val="18"/>
                <w:highlight w:val="white"/>
              </w:rPr>
              <w:fldChar w:fldCharType="begin" w:fldLock="1"/>
            </w:r>
            <w:r w:rsidR="0026106C" w:rsidRPr="0026106C">
              <w:rPr>
                <w:bCs/>
                <w:color w:val="000000" w:themeColor="text1"/>
                <w:sz w:val="18"/>
                <w:szCs w:val="18"/>
                <w:highlight w:val="white"/>
              </w:rPr>
              <w:instrText>ADDIN CSL_CITATION {"citationItems":[{"id":"ITEM-1","itemData":{"author":[{"dropping-particle":"","family":"Sens","given":"J I J A I","non-dropping-particle":"","parse-names":false,"suffix":""},{"dropping-particle":"","family":"Breitenstein","given":"E","non-dropping-particle":"","parse-names":false,"suffix":""},{"dropping-particle":"","family":"Rochat","given":"T","non-dropping-particle":"","parse-names":false,"suffix":""},{"dropping-particle":"","family":"Fitting","given":"J W","non-dropping-particle":"","parse-names":false,"suffix":""}],"id":"ITEM-1","issue":"815","issued":{"date-parts":[["1999"]]},"title":"Does the ‘ Oxygen cost diagram ’ reflect changes in six minute walking distance in follow up studies ?","type":"article-journal"},"uris":["http://www.mendeley.com/documents/?uuid=8d3ee9cc-7c14-4f5f-b5ad-29218bfbaba6"]}],"mendeley":{"formattedCitation":"&lt;sup&gt;14&lt;/sup&gt;","plainTextFormattedCitation":"14","previouslyFormattedCitation":"&lt;sup&gt;14&lt;/sup&gt;"},"properties":{"noteIndex":0},"schema":"https://github.com/citation-style-language/schema/raw/master/csl-citation.json"}</w:instrText>
            </w:r>
            <w:r w:rsidR="00997AC1" w:rsidRPr="0026106C">
              <w:rPr>
                <w:bCs/>
                <w:color w:val="000000" w:themeColor="text1"/>
                <w:sz w:val="18"/>
                <w:szCs w:val="18"/>
                <w:highlight w:val="white"/>
              </w:rPr>
              <w:fldChar w:fldCharType="separate"/>
            </w:r>
            <w:r w:rsidR="0026106C" w:rsidRPr="0026106C">
              <w:rPr>
                <w:bCs/>
                <w:noProof/>
                <w:color w:val="000000" w:themeColor="text1"/>
                <w:sz w:val="18"/>
                <w:szCs w:val="18"/>
                <w:highlight w:val="white"/>
                <w:vertAlign w:val="superscript"/>
              </w:rPr>
              <w:t>14</w:t>
            </w:r>
            <w:r w:rsidR="00997AC1" w:rsidRPr="0026106C">
              <w:rPr>
                <w:bCs/>
                <w:color w:val="000000" w:themeColor="text1"/>
                <w:sz w:val="18"/>
                <w:szCs w:val="18"/>
                <w:highlight w:val="white"/>
              </w:rPr>
              <w:fldChar w:fldCharType="end"/>
            </w:r>
          </w:p>
        </w:tc>
        <w:tc>
          <w:tcPr>
            <w:tcW w:w="3240" w:type="dxa"/>
            <w:shd w:val="clear" w:color="auto" w:fill="auto"/>
            <w:tcMar>
              <w:top w:w="100" w:type="dxa"/>
              <w:left w:w="100" w:type="dxa"/>
              <w:bottom w:w="100" w:type="dxa"/>
              <w:right w:w="100" w:type="dxa"/>
            </w:tcMar>
          </w:tcPr>
          <w:p w14:paraId="22883634"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Not applicable</w:t>
            </w:r>
          </w:p>
        </w:tc>
      </w:tr>
      <w:tr w:rsidR="0026106C" w:rsidRPr="0026106C" w14:paraId="369A8B39" w14:textId="77777777" w:rsidTr="0026106C">
        <w:tc>
          <w:tcPr>
            <w:tcW w:w="1833" w:type="dxa"/>
            <w:shd w:val="clear" w:color="auto" w:fill="auto"/>
            <w:tcMar>
              <w:top w:w="100" w:type="dxa"/>
              <w:left w:w="100" w:type="dxa"/>
              <w:bottom w:w="100" w:type="dxa"/>
              <w:right w:w="100" w:type="dxa"/>
            </w:tcMar>
          </w:tcPr>
          <w:p w14:paraId="740E0870" w14:textId="45A9184A" w:rsidR="00997AC1" w:rsidRPr="0026106C" w:rsidRDefault="00997AC1" w:rsidP="00567A02">
            <w:pPr>
              <w:spacing w:before="0" w:after="0" w:line="240" w:lineRule="auto"/>
              <w:rPr>
                <w:b/>
                <w:color w:val="000000" w:themeColor="text1"/>
                <w:sz w:val="18"/>
                <w:szCs w:val="18"/>
                <w:shd w:val="clear" w:color="auto" w:fill="F6F6F6"/>
              </w:rPr>
            </w:pPr>
            <w:r w:rsidRPr="0026106C">
              <w:rPr>
                <w:bCs/>
                <w:color w:val="000000" w:themeColor="text1"/>
                <w:sz w:val="18"/>
                <w:szCs w:val="18"/>
              </w:rPr>
              <w:t>Baseline and Transition Dyspnoea Indices</w:t>
            </w:r>
            <w:r w:rsidRPr="0026106C">
              <w:rPr>
                <w:bCs/>
                <w:color w:val="000000" w:themeColor="text1"/>
                <w:sz w:val="18"/>
                <w:szCs w:val="18"/>
              </w:rPr>
              <w:fldChar w:fldCharType="begin" w:fldLock="1"/>
            </w:r>
            <w:r w:rsidR="0026106C" w:rsidRPr="0026106C">
              <w:rPr>
                <w:bCs/>
                <w:color w:val="000000" w:themeColor="text1"/>
                <w:sz w:val="18"/>
                <w:szCs w:val="18"/>
              </w:rPr>
              <w:instrText>ADDIN CSL_CITATION {"citationItems":[{"id":"ITEM-1","itemData":{"ISSN":"0012-3692","author":[{"dropping-particle":"","family":"Mahler","given":"Donald A","non-dropping-particle":"","parse-names":false,"suffix":""},{"dropping-particle":"","family":"Weinberg","given":"David H","non-dropping-particle":"","parse-names":false,"suffix":""},{"dropping-particle":"","family":"Wells","given":"Carolyn K","non-dropping-particle":"","parse-names":false,"suffix":""},{"dropping-particle":"","family":"Feinstein","given":"Alvan R","non-dropping-particle":"","parse-names":false,"suffix":""}],"container-title":"Chest","id":"ITEM-1","issue":"6","issued":{"date-parts":[["1984"]]},"page":"751-758","publisher":"Elsevier","title":"The measurement of dyspnea: contents, interobserver agreement, and physiologic correlates of two new clinical indexes","type":"article-journal","volume":"85"},"uris":["http://www.mendeley.com/documents/?uuid=9da1d5b9-ab41-4fc1-90ae-da0fffc45750"]}],"mendeley":{"formattedCitation":"&lt;sup&gt;15&lt;/sup&gt;","plainTextFormattedCitation":"15","previouslyFormattedCitation":"&lt;sup&gt;15&lt;/sup&gt;"},"properties":{"noteIndex":0},"schema":"https://github.com/citation-style-language/schema/raw/master/csl-citation.json"}</w:instrText>
            </w:r>
            <w:r w:rsidRPr="0026106C">
              <w:rPr>
                <w:bCs/>
                <w:color w:val="000000" w:themeColor="text1"/>
                <w:sz w:val="18"/>
                <w:szCs w:val="18"/>
              </w:rPr>
              <w:fldChar w:fldCharType="separate"/>
            </w:r>
            <w:r w:rsidR="0026106C" w:rsidRPr="0026106C">
              <w:rPr>
                <w:bCs/>
                <w:noProof/>
                <w:color w:val="000000" w:themeColor="text1"/>
                <w:sz w:val="18"/>
                <w:szCs w:val="18"/>
                <w:vertAlign w:val="superscript"/>
              </w:rPr>
              <w:t>15</w:t>
            </w:r>
            <w:r w:rsidRPr="0026106C">
              <w:rPr>
                <w:bCs/>
                <w:color w:val="000000" w:themeColor="text1"/>
                <w:sz w:val="18"/>
                <w:szCs w:val="18"/>
              </w:rPr>
              <w:fldChar w:fldCharType="end"/>
            </w:r>
          </w:p>
        </w:tc>
        <w:tc>
          <w:tcPr>
            <w:tcW w:w="3827" w:type="dxa"/>
            <w:shd w:val="clear" w:color="auto" w:fill="auto"/>
            <w:tcMar>
              <w:top w:w="100" w:type="dxa"/>
              <w:left w:w="100" w:type="dxa"/>
              <w:bottom w:w="100" w:type="dxa"/>
              <w:right w:w="100" w:type="dxa"/>
            </w:tcMar>
          </w:tcPr>
          <w:p w14:paraId="59669F0E"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Includes measurement of functional impairment (the degree to which activities of daily living are impaired) and magnitude of effort (the overall effort exerted to perform activities), in addition to magnitude of task</w:t>
            </w:r>
          </w:p>
        </w:tc>
        <w:tc>
          <w:tcPr>
            <w:tcW w:w="4060" w:type="dxa"/>
            <w:shd w:val="clear" w:color="auto" w:fill="auto"/>
            <w:tcMar>
              <w:top w:w="100" w:type="dxa"/>
              <w:left w:w="100" w:type="dxa"/>
              <w:bottom w:w="100" w:type="dxa"/>
              <w:right w:w="100" w:type="dxa"/>
            </w:tcMar>
          </w:tcPr>
          <w:p w14:paraId="50F0CB5B"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Used for COPD intervention trails.</w:t>
            </w:r>
          </w:p>
        </w:tc>
        <w:tc>
          <w:tcPr>
            <w:tcW w:w="3240" w:type="dxa"/>
            <w:shd w:val="clear" w:color="auto" w:fill="auto"/>
            <w:tcMar>
              <w:top w:w="100" w:type="dxa"/>
              <w:left w:w="100" w:type="dxa"/>
              <w:bottom w:w="100" w:type="dxa"/>
              <w:right w:w="100" w:type="dxa"/>
            </w:tcMar>
          </w:tcPr>
          <w:p w14:paraId="40B631C8"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Not applicable</w:t>
            </w:r>
          </w:p>
          <w:p w14:paraId="28A0A9B0"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Takes 5 minutes to administer.</w:t>
            </w:r>
          </w:p>
        </w:tc>
      </w:tr>
      <w:tr w:rsidR="0026106C" w:rsidRPr="0026106C" w14:paraId="3729515E" w14:textId="77777777" w:rsidTr="0026106C">
        <w:tc>
          <w:tcPr>
            <w:tcW w:w="1833" w:type="dxa"/>
            <w:shd w:val="clear" w:color="auto" w:fill="auto"/>
            <w:tcMar>
              <w:top w:w="100" w:type="dxa"/>
              <w:left w:w="100" w:type="dxa"/>
              <w:bottom w:w="100" w:type="dxa"/>
              <w:right w:w="100" w:type="dxa"/>
            </w:tcMar>
          </w:tcPr>
          <w:p w14:paraId="61DBCBB8" w14:textId="40164374" w:rsidR="00997AC1" w:rsidRPr="0026106C" w:rsidRDefault="00997AC1" w:rsidP="00567A02">
            <w:pPr>
              <w:spacing w:before="0" w:after="0" w:line="240" w:lineRule="auto"/>
              <w:rPr>
                <w:bCs/>
                <w:color w:val="000000" w:themeColor="text1"/>
                <w:sz w:val="18"/>
                <w:szCs w:val="18"/>
                <w:shd w:val="clear" w:color="auto" w:fill="F6F6F6"/>
              </w:rPr>
            </w:pPr>
            <w:r w:rsidRPr="0026106C">
              <w:rPr>
                <w:bCs/>
                <w:color w:val="000000" w:themeColor="text1"/>
                <w:sz w:val="18"/>
                <w:szCs w:val="18"/>
              </w:rPr>
              <w:t>University of California at San Diego Shortness of Breath Questionnaire (UCSDQ)</w:t>
            </w:r>
            <w:r w:rsidRPr="0026106C">
              <w:rPr>
                <w:bCs/>
                <w:color w:val="000000" w:themeColor="text1"/>
                <w:sz w:val="18"/>
                <w:szCs w:val="18"/>
              </w:rPr>
              <w:fldChar w:fldCharType="begin" w:fldLock="1"/>
            </w:r>
            <w:r w:rsidR="0026106C" w:rsidRPr="0026106C">
              <w:rPr>
                <w:bCs/>
                <w:color w:val="000000" w:themeColor="text1"/>
                <w:sz w:val="18"/>
                <w:szCs w:val="18"/>
              </w:rPr>
              <w:instrText>ADDIN CSL_CITATION {"citationItems":[{"id":"ITEM-1","itemData":{"ISSN":"0012-3692","author":[{"dropping-particle":"","family":"Eakin","given":"Elizabeth G","non-dropping-particle":"","parse-names":false,"suffix":""},{"dropping-particle":"","family":"Resnikoff","given":"Pamela M","non-dropping-particle":"","parse-names":false,"suffix":""},{"dropping-particle":"","family":"Prewitt","given":"Lela M","non-dropping-particle":"","parse-names":false,"suffix":""},{"dropping-particle":"","family":"Ries","given":"Andrew L","non-dropping-particle":"","parse-names":false,"suffix":""},{"dropping-particle":"","family":"Kaplan","given":"Robert M","non-dropping-particle":"","parse-names":false,"suffix":""}],"container-title":"Chest","id":"ITEM-1","issue":"3","issued":{"date-parts":[["1998"]]},"page":"619-624","publisher":"Elsevier","title":"Validation of a new dyspnea measure: the UCSD Shortness of Breath Questionnaire","type":"article-journal","volume":"113"},"uris":["http://www.mendeley.com/documents/?uuid=e9e4a590-5ef1-4199-8b2f-e1b8e9fdc5a8"]}],"mendeley":{"formattedCitation":"&lt;sup&gt;16&lt;/sup&gt;","plainTextFormattedCitation":"16","previouslyFormattedCitation":"&lt;sup&gt;16&lt;/sup&gt;"},"properties":{"noteIndex":0},"schema":"https://github.com/citation-style-language/schema/raw/master/csl-citation.json"}</w:instrText>
            </w:r>
            <w:r w:rsidRPr="0026106C">
              <w:rPr>
                <w:bCs/>
                <w:color w:val="000000" w:themeColor="text1"/>
                <w:sz w:val="18"/>
                <w:szCs w:val="18"/>
              </w:rPr>
              <w:fldChar w:fldCharType="separate"/>
            </w:r>
            <w:r w:rsidR="0026106C" w:rsidRPr="0026106C">
              <w:rPr>
                <w:bCs/>
                <w:noProof/>
                <w:color w:val="000000" w:themeColor="text1"/>
                <w:sz w:val="18"/>
                <w:szCs w:val="18"/>
                <w:vertAlign w:val="superscript"/>
              </w:rPr>
              <w:t>16</w:t>
            </w:r>
            <w:r w:rsidRPr="0026106C">
              <w:rPr>
                <w:bCs/>
                <w:color w:val="000000" w:themeColor="text1"/>
                <w:sz w:val="18"/>
                <w:szCs w:val="18"/>
              </w:rPr>
              <w:fldChar w:fldCharType="end"/>
            </w:r>
          </w:p>
        </w:tc>
        <w:tc>
          <w:tcPr>
            <w:tcW w:w="3827" w:type="dxa"/>
            <w:shd w:val="clear" w:color="auto" w:fill="auto"/>
            <w:tcMar>
              <w:top w:w="100" w:type="dxa"/>
              <w:left w:w="100" w:type="dxa"/>
              <w:bottom w:w="100" w:type="dxa"/>
              <w:right w:w="100" w:type="dxa"/>
            </w:tcMar>
          </w:tcPr>
          <w:p w14:paraId="08750892"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 xml:space="preserve">24-item questionnaire measuring </w:t>
            </w:r>
            <w:proofErr w:type="spellStart"/>
            <w:r w:rsidRPr="0026106C">
              <w:rPr>
                <w:bCs/>
                <w:color w:val="000000" w:themeColor="text1"/>
                <w:sz w:val="18"/>
                <w:szCs w:val="18"/>
                <w:highlight w:val="white"/>
              </w:rPr>
              <w:t>dyspnea</w:t>
            </w:r>
            <w:proofErr w:type="spellEnd"/>
            <w:r w:rsidRPr="0026106C">
              <w:rPr>
                <w:bCs/>
                <w:color w:val="000000" w:themeColor="text1"/>
                <w:sz w:val="18"/>
                <w:szCs w:val="18"/>
                <w:highlight w:val="white"/>
              </w:rPr>
              <w:t xml:space="preserve"> during the past week </w:t>
            </w:r>
          </w:p>
        </w:tc>
        <w:tc>
          <w:tcPr>
            <w:tcW w:w="4060" w:type="dxa"/>
            <w:shd w:val="clear" w:color="auto" w:fill="auto"/>
            <w:tcMar>
              <w:top w:w="100" w:type="dxa"/>
              <w:left w:w="100" w:type="dxa"/>
              <w:bottom w:w="100" w:type="dxa"/>
              <w:right w:w="100" w:type="dxa"/>
            </w:tcMar>
          </w:tcPr>
          <w:p w14:paraId="0CD66CDC" w14:textId="77777777" w:rsidR="00C110BA" w:rsidRPr="0026106C" w:rsidRDefault="00F07E96"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Used for COPD intervention trails.</w:t>
            </w:r>
          </w:p>
        </w:tc>
        <w:tc>
          <w:tcPr>
            <w:tcW w:w="3240" w:type="dxa"/>
            <w:shd w:val="clear" w:color="auto" w:fill="auto"/>
            <w:tcMar>
              <w:top w:w="100" w:type="dxa"/>
              <w:left w:w="100" w:type="dxa"/>
              <w:bottom w:w="100" w:type="dxa"/>
              <w:right w:w="100" w:type="dxa"/>
            </w:tcMar>
          </w:tcPr>
          <w:p w14:paraId="191AE0A8" w14:textId="77777777" w:rsidR="00C110BA" w:rsidRPr="0026106C" w:rsidRDefault="00101314" w:rsidP="00567A02">
            <w:pPr>
              <w:spacing w:before="0" w:after="0" w:line="240" w:lineRule="auto"/>
              <w:rPr>
                <w:bCs/>
                <w:color w:val="000000" w:themeColor="text1"/>
                <w:sz w:val="18"/>
                <w:szCs w:val="18"/>
                <w:highlight w:val="white"/>
              </w:rPr>
            </w:pPr>
            <w:r w:rsidRPr="0026106C">
              <w:rPr>
                <w:bCs/>
                <w:color w:val="000000" w:themeColor="text1"/>
                <w:sz w:val="18"/>
                <w:szCs w:val="18"/>
                <w:highlight w:val="white"/>
              </w:rPr>
              <w:t>Not applicable</w:t>
            </w:r>
          </w:p>
        </w:tc>
      </w:tr>
    </w:tbl>
    <w:p w14:paraId="61196D33" w14:textId="77777777" w:rsidR="0026106C" w:rsidRDefault="0026106C" w:rsidP="00567A02">
      <w:pPr>
        <w:spacing w:before="0" w:after="0" w:line="240" w:lineRule="auto"/>
        <w:rPr>
          <w:bCs/>
          <w:color w:val="000000" w:themeColor="text1"/>
          <w:sz w:val="18"/>
          <w:szCs w:val="18"/>
          <w:highlight w:val="white"/>
        </w:rPr>
      </w:pPr>
    </w:p>
    <w:p w14:paraId="58AF2F6C" w14:textId="77777777" w:rsidR="0026106C" w:rsidRDefault="0026106C" w:rsidP="0026106C">
      <w:pPr>
        <w:rPr>
          <w:b/>
          <w:color w:val="000000" w:themeColor="text1"/>
          <w:sz w:val="18"/>
          <w:szCs w:val="18"/>
          <w:highlight w:val="white"/>
        </w:rPr>
        <w:sectPr w:rsidR="0026106C">
          <w:pgSz w:w="15840" w:h="12240"/>
          <w:pgMar w:top="1440" w:right="1440" w:bottom="1440" w:left="1440" w:header="720" w:footer="720" w:gutter="0"/>
          <w:cols w:space="720" w:equalWidth="0">
            <w:col w:w="9360"/>
          </w:cols>
        </w:sectPr>
      </w:pPr>
    </w:p>
    <w:p w14:paraId="3CFE1FA0" w14:textId="53BB3A1E" w:rsidR="0026106C" w:rsidRDefault="0026106C" w:rsidP="0026106C">
      <w:pPr>
        <w:rPr>
          <w:b/>
          <w:color w:val="000000" w:themeColor="text1"/>
          <w:sz w:val="18"/>
          <w:szCs w:val="18"/>
          <w:highlight w:val="white"/>
        </w:rPr>
      </w:pPr>
      <w:r w:rsidRPr="00F07E96">
        <w:rPr>
          <w:b/>
          <w:color w:val="000000" w:themeColor="text1"/>
          <w:sz w:val="18"/>
          <w:szCs w:val="18"/>
          <w:highlight w:val="white"/>
        </w:rPr>
        <w:lastRenderedPageBreak/>
        <w:t xml:space="preserve">Table 3. </w:t>
      </w:r>
      <w:r>
        <w:rPr>
          <w:b/>
          <w:color w:val="000000" w:themeColor="text1"/>
          <w:sz w:val="18"/>
          <w:szCs w:val="18"/>
          <w:highlight w:val="white"/>
        </w:rPr>
        <w:t>Selected o</w:t>
      </w:r>
      <w:r w:rsidRPr="00F07E96">
        <w:rPr>
          <w:b/>
          <w:color w:val="000000" w:themeColor="text1"/>
          <w:sz w:val="18"/>
          <w:szCs w:val="18"/>
          <w:highlight w:val="white"/>
        </w:rPr>
        <w:t>verview</w:t>
      </w:r>
      <w:r>
        <w:rPr>
          <w:b/>
          <w:color w:val="000000" w:themeColor="text1"/>
          <w:sz w:val="18"/>
          <w:szCs w:val="18"/>
          <w:highlight w:val="white"/>
        </w:rPr>
        <w:t>*</w:t>
      </w:r>
      <w:r w:rsidRPr="00F07E96">
        <w:rPr>
          <w:b/>
          <w:color w:val="000000" w:themeColor="text1"/>
          <w:sz w:val="18"/>
          <w:szCs w:val="18"/>
          <w:highlight w:val="white"/>
        </w:rPr>
        <w:t xml:space="preserve"> of symptom-based measuring scores</w:t>
      </w:r>
      <w:r>
        <w:rPr>
          <w:b/>
          <w:color w:val="000000" w:themeColor="text1"/>
          <w:sz w:val="18"/>
          <w:szCs w:val="18"/>
          <w:highlight w:val="white"/>
        </w:rPr>
        <w:t xml:space="preserve"> for dyspnoea (continued):</w:t>
      </w:r>
    </w:p>
    <w:tbl>
      <w:tblPr>
        <w:tblpPr w:leftFromText="180" w:rightFromText="180" w:vertAnchor="page" w:horzAnchor="margin" w:tblpY="202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833"/>
        <w:gridCol w:w="3827"/>
        <w:gridCol w:w="4060"/>
        <w:gridCol w:w="3240"/>
      </w:tblGrid>
      <w:tr w:rsidR="00373901" w:rsidRPr="0026106C" w14:paraId="62DF42D6" w14:textId="77777777" w:rsidTr="00373901">
        <w:trPr>
          <w:trHeight w:val="1586"/>
        </w:trPr>
        <w:tc>
          <w:tcPr>
            <w:tcW w:w="1833" w:type="dxa"/>
            <w:shd w:val="clear" w:color="auto" w:fill="auto"/>
            <w:tcMar>
              <w:top w:w="100" w:type="dxa"/>
              <w:left w:w="100" w:type="dxa"/>
              <w:bottom w:w="100" w:type="dxa"/>
              <w:right w:w="100" w:type="dxa"/>
            </w:tcMar>
          </w:tcPr>
          <w:p w14:paraId="237AFB9F" w14:textId="77777777" w:rsidR="00373901" w:rsidRPr="0026106C" w:rsidRDefault="00373901" w:rsidP="00373901">
            <w:pPr>
              <w:spacing w:before="0" w:after="0" w:line="240" w:lineRule="auto"/>
              <w:rPr>
                <w:bCs/>
                <w:color w:val="000000" w:themeColor="text1"/>
                <w:sz w:val="18"/>
                <w:szCs w:val="18"/>
                <w:shd w:val="clear" w:color="auto" w:fill="F6F6F6"/>
              </w:rPr>
            </w:pPr>
            <w:r w:rsidRPr="0026106C">
              <w:rPr>
                <w:bCs/>
                <w:color w:val="000000" w:themeColor="text1"/>
                <w:sz w:val="18"/>
                <w:szCs w:val="18"/>
                <w:highlight w:val="white"/>
              </w:rPr>
              <w:t>Vertical Visual Analogue Scale</w:t>
            </w:r>
            <w:r w:rsidRPr="0026106C">
              <w:rPr>
                <w:bCs/>
                <w:color w:val="000000" w:themeColor="text1"/>
                <w:sz w:val="18"/>
                <w:szCs w:val="18"/>
                <w:highlight w:val="white"/>
              </w:rPr>
              <w:fldChar w:fldCharType="begin" w:fldLock="1"/>
            </w:r>
            <w:r w:rsidRPr="0026106C">
              <w:rPr>
                <w:bCs/>
                <w:color w:val="000000" w:themeColor="text1"/>
                <w:sz w:val="18"/>
                <w:szCs w:val="18"/>
                <w:highlight w:val="white"/>
              </w:rPr>
              <w:instrText>ADDIN CSL_CITATION {"citationItems":[{"id":"ITEM-1","itemData":{"ISSN":"0278-4807","author":[{"dropping-particle":"","family":"Gift","given":"Audrey G","non-dropping-particle":"","parse-names":false,"suffix":""}],"container-title":"Rehabilitation Nursing","id":"ITEM-1","issue":"6","issued":{"date-parts":[["1989"]]},"page":"323-325","publisher":"Wiley Online Library","title":"Validation of a vertical visual analogue scale as a measure of clinical dyspnea","type":"article-journal","volume":"14"},"uris":["http://www.mendeley.com/documents/?uuid=a692b21e-f53b-4c04-8207-6f75c03f8ff3"]}],"mendeley":{"formattedCitation":"&lt;sup&gt;17&lt;/sup&gt;","plainTextFormattedCitation":"17","previouslyFormattedCitation":"&lt;sup&gt;17&lt;/sup&gt;"},"properties":{"noteIndex":0},"schema":"https://github.com/citation-style-language/schema/raw/master/csl-citation.json"}</w:instrText>
            </w:r>
            <w:r w:rsidRPr="0026106C">
              <w:rPr>
                <w:bCs/>
                <w:color w:val="000000" w:themeColor="text1"/>
                <w:sz w:val="18"/>
                <w:szCs w:val="18"/>
                <w:highlight w:val="white"/>
              </w:rPr>
              <w:fldChar w:fldCharType="separate"/>
            </w:r>
            <w:r w:rsidRPr="0026106C">
              <w:rPr>
                <w:bCs/>
                <w:noProof/>
                <w:color w:val="000000" w:themeColor="text1"/>
                <w:sz w:val="18"/>
                <w:szCs w:val="18"/>
                <w:highlight w:val="white"/>
                <w:vertAlign w:val="superscript"/>
              </w:rPr>
              <w:t>17</w:t>
            </w:r>
            <w:r w:rsidRPr="0026106C">
              <w:rPr>
                <w:bCs/>
                <w:color w:val="000000" w:themeColor="text1"/>
                <w:sz w:val="18"/>
                <w:szCs w:val="18"/>
                <w:highlight w:val="white"/>
              </w:rPr>
              <w:fldChar w:fldCharType="end"/>
            </w:r>
          </w:p>
        </w:tc>
        <w:tc>
          <w:tcPr>
            <w:tcW w:w="3827" w:type="dxa"/>
            <w:shd w:val="clear" w:color="auto" w:fill="auto"/>
            <w:tcMar>
              <w:top w:w="100" w:type="dxa"/>
              <w:left w:w="100" w:type="dxa"/>
              <w:bottom w:w="100" w:type="dxa"/>
              <w:right w:w="100" w:type="dxa"/>
            </w:tcMar>
          </w:tcPr>
          <w:p w14:paraId="4013B5A3" w14:textId="77777777"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The anchors on the scale have not been standardized, but “not breathless at all” to “extremely breathless” are frequently used.</w:t>
            </w:r>
          </w:p>
        </w:tc>
        <w:tc>
          <w:tcPr>
            <w:tcW w:w="4060" w:type="dxa"/>
            <w:shd w:val="clear" w:color="auto" w:fill="auto"/>
            <w:tcMar>
              <w:top w:w="100" w:type="dxa"/>
              <w:left w:w="100" w:type="dxa"/>
              <w:bottom w:w="100" w:type="dxa"/>
              <w:right w:w="100" w:type="dxa"/>
            </w:tcMar>
          </w:tcPr>
          <w:p w14:paraId="4F2C14DE" w14:textId="77777777"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Construct validity of the Vertical Visual Analogue Scale as a measure of dyspnoea in both acute and chronic populations - included asthma and COPD.</w:t>
            </w:r>
          </w:p>
          <w:p w14:paraId="69295CA4" w14:textId="77777777"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Used as a measure for nurses to assess response to treatment in acute setting.</w:t>
            </w:r>
          </w:p>
        </w:tc>
        <w:tc>
          <w:tcPr>
            <w:tcW w:w="3240" w:type="dxa"/>
            <w:shd w:val="clear" w:color="auto" w:fill="auto"/>
            <w:tcMar>
              <w:top w:w="100" w:type="dxa"/>
              <w:left w:w="100" w:type="dxa"/>
              <w:bottom w:w="100" w:type="dxa"/>
              <w:right w:w="100" w:type="dxa"/>
            </w:tcMar>
          </w:tcPr>
          <w:p w14:paraId="72D3F12B" w14:textId="1102A2FE"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Construct validity done in acute setting for asthma. Not used as a</w:t>
            </w:r>
            <w:r w:rsidR="00B352D0">
              <w:rPr>
                <w:bCs/>
                <w:color w:val="000000" w:themeColor="text1"/>
                <w:sz w:val="18"/>
                <w:szCs w:val="18"/>
                <w:highlight w:val="white"/>
              </w:rPr>
              <w:t>n acute assessment</w:t>
            </w:r>
            <w:r w:rsidRPr="0026106C">
              <w:rPr>
                <w:bCs/>
                <w:color w:val="000000" w:themeColor="text1"/>
                <w:sz w:val="18"/>
                <w:szCs w:val="18"/>
                <w:highlight w:val="white"/>
              </w:rPr>
              <w:t xml:space="preserve"> tool, but used to measure treatment response.</w:t>
            </w:r>
          </w:p>
          <w:p w14:paraId="47D7E68C" w14:textId="77777777" w:rsidR="00373901" w:rsidRPr="0026106C" w:rsidRDefault="00373901" w:rsidP="00373901">
            <w:pPr>
              <w:spacing w:before="0" w:after="0" w:line="240" w:lineRule="auto"/>
              <w:rPr>
                <w:bCs/>
                <w:color w:val="000000" w:themeColor="text1"/>
                <w:sz w:val="18"/>
                <w:szCs w:val="18"/>
                <w:highlight w:val="white"/>
              </w:rPr>
            </w:pPr>
          </w:p>
          <w:p w14:paraId="40B4604D" w14:textId="77777777"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Difficult to use in telephone consultations without video as health worker needs to show a picture of the scale.</w:t>
            </w:r>
          </w:p>
        </w:tc>
      </w:tr>
      <w:tr w:rsidR="00373901" w:rsidRPr="0026106C" w14:paraId="492F6EEE" w14:textId="77777777" w:rsidTr="00373901">
        <w:trPr>
          <w:trHeight w:val="1586"/>
        </w:trPr>
        <w:tc>
          <w:tcPr>
            <w:tcW w:w="1833" w:type="dxa"/>
            <w:shd w:val="clear" w:color="auto" w:fill="auto"/>
            <w:tcMar>
              <w:top w:w="100" w:type="dxa"/>
              <w:left w:w="100" w:type="dxa"/>
              <w:bottom w:w="100" w:type="dxa"/>
              <w:right w:w="100" w:type="dxa"/>
            </w:tcMar>
          </w:tcPr>
          <w:p w14:paraId="2A13F5EB" w14:textId="77777777"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Dyspnoeia-12 Scale</w:t>
            </w:r>
            <w:r w:rsidRPr="0026106C">
              <w:rPr>
                <w:bCs/>
                <w:color w:val="000000" w:themeColor="text1"/>
                <w:sz w:val="18"/>
                <w:szCs w:val="18"/>
                <w:highlight w:val="white"/>
              </w:rPr>
              <w:fldChar w:fldCharType="begin" w:fldLock="1"/>
            </w:r>
            <w:r w:rsidRPr="0026106C">
              <w:rPr>
                <w:bCs/>
                <w:color w:val="000000" w:themeColor="text1"/>
                <w:sz w:val="18"/>
                <w:szCs w:val="18"/>
                <w:highlight w:val="white"/>
              </w:rPr>
              <w:instrText>ADDIN CSL_CITATION {"citationItems":[{"id":"ITEM-1","itemData":{"DOI":"10.1136/thx.2009.118521","author":[{"dropping-particle":"","family":"Yorke","given":"J","non-dropping-particle":"","parse-names":false,"suffix":""},{"dropping-particle":"","family":"Moosavi","given":"S H","non-dropping-particle":"","parse-names":false,"suffix":""},{"dropping-particle":"","family":"Shuldham","given":"C","non-dropping-particle":"","parse-names":false,"suffix":""},{"dropping-particle":"","family":"Jones","given":"P W","non-dropping-particle":"","parse-names":false,"suffix":""}],"id":"ITEM-1","issued":{"date-parts":[["2010"]]},"page":"21-26","title":"Quantification of dyspnoea using descriptors : development and initial testing of the Dyspnoea-12 Study one","type":"article-journal"},"uris":["http://www.mendeley.com/documents/?uuid=14b1689c-5f70-435f-8004-68b2eb4e712f"]}],"mendeley":{"formattedCitation":"&lt;sup&gt;18&lt;/sup&gt;","plainTextFormattedCitation":"18","previouslyFormattedCitation":"&lt;sup&gt;18&lt;/sup&gt;"},"properties":{"noteIndex":0},"schema":"https://github.com/citation-style-language/schema/raw/master/csl-citation.json"}</w:instrText>
            </w:r>
            <w:r w:rsidRPr="0026106C">
              <w:rPr>
                <w:bCs/>
                <w:color w:val="000000" w:themeColor="text1"/>
                <w:sz w:val="18"/>
                <w:szCs w:val="18"/>
                <w:highlight w:val="white"/>
              </w:rPr>
              <w:fldChar w:fldCharType="separate"/>
            </w:r>
            <w:r w:rsidRPr="0026106C">
              <w:rPr>
                <w:bCs/>
                <w:noProof/>
                <w:color w:val="000000" w:themeColor="text1"/>
                <w:sz w:val="18"/>
                <w:szCs w:val="18"/>
                <w:highlight w:val="white"/>
                <w:vertAlign w:val="superscript"/>
              </w:rPr>
              <w:t>18</w:t>
            </w:r>
            <w:r w:rsidRPr="0026106C">
              <w:rPr>
                <w:bCs/>
                <w:color w:val="000000" w:themeColor="text1"/>
                <w:sz w:val="18"/>
                <w:szCs w:val="18"/>
                <w:highlight w:val="white"/>
              </w:rPr>
              <w:fldChar w:fldCharType="end"/>
            </w:r>
          </w:p>
        </w:tc>
        <w:tc>
          <w:tcPr>
            <w:tcW w:w="3827" w:type="dxa"/>
            <w:shd w:val="clear" w:color="auto" w:fill="auto"/>
            <w:tcMar>
              <w:top w:w="100" w:type="dxa"/>
              <w:left w:w="100" w:type="dxa"/>
              <w:bottom w:w="100" w:type="dxa"/>
              <w:right w:w="100" w:type="dxa"/>
            </w:tcMar>
          </w:tcPr>
          <w:p w14:paraId="5ACDFA9B" w14:textId="77777777" w:rsidR="00373901" w:rsidRPr="0026106C" w:rsidRDefault="00373901" w:rsidP="00373901">
            <w:pPr>
              <w:spacing w:before="0" w:after="0"/>
              <w:rPr>
                <w:color w:val="000000" w:themeColor="text1"/>
                <w:sz w:val="18"/>
                <w:szCs w:val="18"/>
              </w:rPr>
            </w:pPr>
            <w:r w:rsidRPr="0026106C">
              <w:rPr>
                <w:color w:val="000000" w:themeColor="text1"/>
                <w:sz w:val="18"/>
                <w:szCs w:val="18"/>
                <w:shd w:val="clear" w:color="auto" w:fill="FFFFFF"/>
              </w:rPr>
              <w:t>“Provides a global score of breathlessness severity that incorporates both “physical” and “affective” aspects.”</w:t>
            </w:r>
          </w:p>
          <w:p w14:paraId="2B13FC07" w14:textId="77777777" w:rsidR="00373901" w:rsidRPr="0026106C" w:rsidRDefault="00373901" w:rsidP="00373901">
            <w:pPr>
              <w:spacing w:before="0" w:after="0" w:line="240" w:lineRule="auto"/>
              <w:rPr>
                <w:bCs/>
                <w:color w:val="000000" w:themeColor="text1"/>
                <w:sz w:val="18"/>
                <w:szCs w:val="18"/>
                <w:highlight w:val="white"/>
              </w:rPr>
            </w:pPr>
          </w:p>
        </w:tc>
        <w:tc>
          <w:tcPr>
            <w:tcW w:w="4060" w:type="dxa"/>
            <w:shd w:val="clear" w:color="auto" w:fill="auto"/>
            <w:tcMar>
              <w:top w:w="100" w:type="dxa"/>
              <w:left w:w="100" w:type="dxa"/>
              <w:bottom w:w="100" w:type="dxa"/>
              <w:right w:w="100" w:type="dxa"/>
            </w:tcMar>
          </w:tcPr>
          <w:p w14:paraId="38B86BB7" w14:textId="77777777" w:rsidR="00373901" w:rsidRPr="0026106C" w:rsidRDefault="00373901" w:rsidP="00373901">
            <w:pPr>
              <w:spacing w:before="0" w:after="0"/>
              <w:rPr>
                <w:color w:val="000000" w:themeColor="text1"/>
                <w:sz w:val="18"/>
                <w:szCs w:val="18"/>
              </w:rPr>
            </w:pPr>
            <w:r w:rsidRPr="0026106C">
              <w:rPr>
                <w:color w:val="000000" w:themeColor="text1"/>
                <w:sz w:val="18"/>
                <w:szCs w:val="18"/>
                <w:shd w:val="clear" w:color="auto" w:fill="FFFFFF"/>
              </w:rPr>
              <w:t>“The “Dyspnoea-12” had good internal reliability (Cronbach’s alpha = 0.9) and fit to the Rasch model (</w:t>
            </w:r>
            <w:r w:rsidRPr="0026106C">
              <w:rPr>
                <w:rFonts w:hint="eastAsia"/>
                <w:color w:val="000000" w:themeColor="text1"/>
                <w:sz w:val="18"/>
                <w:szCs w:val="18"/>
                <w:shd w:val="clear" w:color="auto" w:fill="FFFFFF"/>
              </w:rPr>
              <w:t>χ</w:t>
            </w:r>
            <w:r w:rsidRPr="0026106C">
              <w:rPr>
                <w:color w:val="000000" w:themeColor="text1"/>
                <w:sz w:val="18"/>
                <w:szCs w:val="18"/>
                <w:vertAlign w:val="superscript"/>
              </w:rPr>
              <w:t>2</w:t>
            </w:r>
            <w:r w:rsidRPr="0026106C">
              <w:rPr>
                <w:rStyle w:val="apple-converted-space"/>
                <w:color w:val="000000" w:themeColor="text1"/>
                <w:sz w:val="18"/>
                <w:szCs w:val="18"/>
                <w:shd w:val="clear" w:color="auto" w:fill="FFFFFF"/>
              </w:rPr>
              <w:t> </w:t>
            </w:r>
            <w:r w:rsidRPr="0026106C">
              <w:rPr>
                <w:color w:val="000000" w:themeColor="text1"/>
                <w:sz w:val="18"/>
                <w:szCs w:val="18"/>
                <w:shd w:val="clear" w:color="auto" w:fill="FFFFFF"/>
              </w:rPr>
              <w:t>p = 0.08).</w:t>
            </w:r>
            <w:r w:rsidRPr="0026106C">
              <w:rPr>
                <w:rStyle w:val="apple-converted-space"/>
                <w:color w:val="000000" w:themeColor="text1"/>
                <w:sz w:val="18"/>
                <w:szCs w:val="18"/>
                <w:shd w:val="clear" w:color="auto" w:fill="FFFFFF"/>
              </w:rPr>
              <w:t> </w:t>
            </w:r>
          </w:p>
          <w:p w14:paraId="160916C9" w14:textId="77777777" w:rsidR="00373901" w:rsidRPr="0026106C" w:rsidRDefault="00373901" w:rsidP="00373901">
            <w:pPr>
              <w:spacing w:before="0" w:after="0"/>
              <w:rPr>
                <w:color w:val="000000" w:themeColor="text1"/>
                <w:sz w:val="18"/>
                <w:szCs w:val="18"/>
                <w:shd w:val="clear" w:color="auto" w:fill="FFFFFF"/>
              </w:rPr>
            </w:pPr>
          </w:p>
          <w:p w14:paraId="75BBE58C" w14:textId="77777777" w:rsidR="00373901" w:rsidRPr="0026106C" w:rsidRDefault="00373901" w:rsidP="00373901">
            <w:pPr>
              <w:spacing w:before="0" w:after="0"/>
              <w:rPr>
                <w:color w:val="000000" w:themeColor="text1"/>
                <w:sz w:val="18"/>
                <w:szCs w:val="18"/>
              </w:rPr>
            </w:pPr>
            <w:r w:rsidRPr="0026106C">
              <w:rPr>
                <w:color w:val="000000" w:themeColor="text1"/>
                <w:sz w:val="18"/>
                <w:szCs w:val="18"/>
                <w:shd w:val="clear" w:color="auto" w:fill="FFFFFF"/>
              </w:rPr>
              <w:t>Mean Dyspnoea-12 score was strongly associated with HADS scores (anxiety</w:t>
            </w:r>
            <w:r w:rsidRPr="0026106C">
              <w:rPr>
                <w:rStyle w:val="apple-converted-space"/>
                <w:color w:val="000000" w:themeColor="text1"/>
                <w:sz w:val="18"/>
                <w:szCs w:val="18"/>
                <w:shd w:val="clear" w:color="auto" w:fill="FFFFFF"/>
              </w:rPr>
              <w:t> </w:t>
            </w:r>
            <w:r w:rsidRPr="0026106C">
              <w:rPr>
                <w:rStyle w:val="Emphasis"/>
                <w:color w:val="000000" w:themeColor="text1"/>
                <w:sz w:val="18"/>
                <w:szCs w:val="18"/>
              </w:rPr>
              <w:t>r</w:t>
            </w:r>
            <w:r w:rsidRPr="0026106C">
              <w:rPr>
                <w:color w:val="000000" w:themeColor="text1"/>
                <w:sz w:val="18"/>
                <w:szCs w:val="18"/>
                <w:shd w:val="clear" w:color="auto" w:fill="FFFFFF"/>
              </w:rPr>
              <w:t> = 0.51 and depression</w:t>
            </w:r>
            <w:r w:rsidRPr="0026106C">
              <w:rPr>
                <w:rStyle w:val="apple-converted-space"/>
                <w:color w:val="000000" w:themeColor="text1"/>
                <w:sz w:val="18"/>
                <w:szCs w:val="18"/>
                <w:shd w:val="clear" w:color="auto" w:fill="FFFFFF"/>
              </w:rPr>
              <w:t> </w:t>
            </w:r>
            <w:r w:rsidRPr="0026106C">
              <w:rPr>
                <w:rStyle w:val="Emphasis"/>
                <w:color w:val="000000" w:themeColor="text1"/>
                <w:sz w:val="18"/>
                <w:szCs w:val="18"/>
              </w:rPr>
              <w:t>r</w:t>
            </w:r>
            <w:r w:rsidRPr="0026106C">
              <w:rPr>
                <w:color w:val="000000" w:themeColor="text1"/>
                <w:sz w:val="18"/>
                <w:szCs w:val="18"/>
                <w:shd w:val="clear" w:color="auto" w:fill="FFFFFF"/>
              </w:rPr>
              <w:t> = 0.44, p&lt;0.001). Dyspnoea-12 correlated significantly with FEV</w:t>
            </w:r>
            <w:r w:rsidRPr="0026106C">
              <w:rPr>
                <w:color w:val="000000" w:themeColor="text1"/>
                <w:sz w:val="18"/>
                <w:szCs w:val="18"/>
                <w:vertAlign w:val="subscript"/>
              </w:rPr>
              <w:t>1</w:t>
            </w:r>
            <w:r w:rsidRPr="0026106C">
              <w:rPr>
                <w:rStyle w:val="apple-converted-space"/>
                <w:color w:val="000000" w:themeColor="text1"/>
                <w:sz w:val="18"/>
                <w:szCs w:val="18"/>
                <w:shd w:val="clear" w:color="auto" w:fill="FFFFFF"/>
              </w:rPr>
              <w:t> </w:t>
            </w:r>
            <w:r w:rsidRPr="0026106C">
              <w:rPr>
                <w:color w:val="000000" w:themeColor="text1"/>
                <w:sz w:val="18"/>
                <w:szCs w:val="18"/>
                <w:shd w:val="clear" w:color="auto" w:fill="FFFFFF"/>
              </w:rPr>
              <w:t>(</w:t>
            </w:r>
            <w:r w:rsidRPr="0026106C">
              <w:rPr>
                <w:rStyle w:val="Emphasis"/>
                <w:color w:val="000000" w:themeColor="text1"/>
                <w:sz w:val="18"/>
                <w:szCs w:val="18"/>
              </w:rPr>
              <w:t>r</w:t>
            </w:r>
            <w:r w:rsidRPr="0026106C">
              <w:rPr>
                <w:color w:val="000000" w:themeColor="text1"/>
                <w:sz w:val="18"/>
                <w:szCs w:val="18"/>
                <w:shd w:val="clear" w:color="auto" w:fill="FFFFFF"/>
              </w:rPr>
              <w:t> = −0.30, p = 0.03), 6MWD (</w:t>
            </w:r>
            <w:r w:rsidRPr="0026106C">
              <w:rPr>
                <w:rStyle w:val="Emphasis"/>
                <w:color w:val="000000" w:themeColor="text1"/>
                <w:sz w:val="18"/>
                <w:szCs w:val="18"/>
              </w:rPr>
              <w:t>r</w:t>
            </w:r>
            <w:r w:rsidRPr="0026106C">
              <w:rPr>
                <w:color w:val="000000" w:themeColor="text1"/>
                <w:sz w:val="18"/>
                <w:szCs w:val="18"/>
                <w:shd w:val="clear" w:color="auto" w:fill="FFFFFF"/>
              </w:rPr>
              <w:t> = −0.38, p&lt;0.01) and MRC grade (</w:t>
            </w:r>
            <w:r w:rsidRPr="0026106C">
              <w:rPr>
                <w:rStyle w:val="Emphasis"/>
                <w:color w:val="000000" w:themeColor="text1"/>
                <w:sz w:val="18"/>
                <w:szCs w:val="18"/>
              </w:rPr>
              <w:t>r</w:t>
            </w:r>
            <w:r w:rsidRPr="0026106C">
              <w:rPr>
                <w:color w:val="000000" w:themeColor="text1"/>
                <w:sz w:val="18"/>
                <w:szCs w:val="18"/>
                <w:shd w:val="clear" w:color="auto" w:fill="FFFFFF"/>
              </w:rPr>
              <w:t> = 0.48, p&lt;0.001).”</w:t>
            </w:r>
          </w:p>
          <w:p w14:paraId="44622578" w14:textId="77777777" w:rsidR="00373901" w:rsidRPr="0026106C" w:rsidRDefault="00373901" w:rsidP="00373901">
            <w:pPr>
              <w:spacing w:before="0" w:after="0" w:line="240" w:lineRule="auto"/>
              <w:rPr>
                <w:bCs/>
                <w:color w:val="000000" w:themeColor="text1"/>
                <w:sz w:val="18"/>
                <w:szCs w:val="18"/>
                <w:highlight w:val="white"/>
              </w:rPr>
            </w:pPr>
          </w:p>
        </w:tc>
        <w:tc>
          <w:tcPr>
            <w:tcW w:w="3240" w:type="dxa"/>
            <w:shd w:val="clear" w:color="auto" w:fill="auto"/>
            <w:tcMar>
              <w:top w:w="100" w:type="dxa"/>
              <w:left w:w="100" w:type="dxa"/>
              <w:bottom w:w="100" w:type="dxa"/>
              <w:right w:w="100" w:type="dxa"/>
            </w:tcMar>
          </w:tcPr>
          <w:p w14:paraId="04443EF2" w14:textId="77777777" w:rsidR="00373901" w:rsidRPr="0026106C" w:rsidRDefault="00373901" w:rsidP="00373901">
            <w:pPr>
              <w:spacing w:before="0" w:after="0" w:line="240" w:lineRule="auto"/>
              <w:rPr>
                <w:bCs/>
                <w:color w:val="000000" w:themeColor="text1"/>
                <w:sz w:val="18"/>
                <w:szCs w:val="18"/>
                <w:highlight w:val="white"/>
              </w:rPr>
            </w:pPr>
            <w:r w:rsidRPr="0026106C">
              <w:rPr>
                <w:bCs/>
                <w:color w:val="000000" w:themeColor="text1"/>
                <w:sz w:val="18"/>
                <w:szCs w:val="18"/>
                <w:highlight w:val="white"/>
              </w:rPr>
              <w:t xml:space="preserve">No, </w:t>
            </w:r>
            <w:proofErr w:type="spellStart"/>
            <w:r w:rsidRPr="0026106C">
              <w:rPr>
                <w:bCs/>
                <w:color w:val="000000" w:themeColor="text1"/>
                <w:sz w:val="18"/>
                <w:szCs w:val="18"/>
                <w:highlight w:val="white"/>
              </w:rPr>
              <w:t>targetted</w:t>
            </w:r>
            <w:proofErr w:type="spellEnd"/>
            <w:r w:rsidRPr="0026106C">
              <w:rPr>
                <w:bCs/>
                <w:color w:val="000000" w:themeColor="text1"/>
                <w:sz w:val="18"/>
                <w:szCs w:val="18"/>
                <w:highlight w:val="white"/>
              </w:rPr>
              <w:t xml:space="preserve"> towards chronic causes of </w:t>
            </w:r>
            <w:proofErr w:type="spellStart"/>
            <w:r w:rsidRPr="0026106C">
              <w:rPr>
                <w:bCs/>
                <w:color w:val="000000" w:themeColor="text1"/>
                <w:sz w:val="18"/>
                <w:szCs w:val="18"/>
                <w:highlight w:val="white"/>
              </w:rPr>
              <w:t>dyspnoeia</w:t>
            </w:r>
            <w:proofErr w:type="spellEnd"/>
            <w:r w:rsidRPr="0026106C">
              <w:rPr>
                <w:bCs/>
                <w:color w:val="000000" w:themeColor="text1"/>
                <w:sz w:val="18"/>
                <w:szCs w:val="18"/>
                <w:highlight w:val="white"/>
              </w:rPr>
              <w:t xml:space="preserve"> that impairs quality of life.</w:t>
            </w:r>
          </w:p>
        </w:tc>
      </w:tr>
    </w:tbl>
    <w:p w14:paraId="3BBF6FF6" w14:textId="2D339549" w:rsidR="00373901" w:rsidRDefault="00373901" w:rsidP="00373901">
      <w:pPr>
        <w:pStyle w:val="Heading1"/>
        <w:spacing w:before="280" w:after="140"/>
        <w:rPr>
          <w:rFonts w:ascii="Arial Narrow" w:hAnsi="Arial Narrow"/>
          <w:color w:val="000000"/>
          <w:sz w:val="41"/>
          <w:szCs w:val="41"/>
        </w:rPr>
      </w:pPr>
      <w:r>
        <w:rPr>
          <w:bCs/>
          <w:color w:val="000000" w:themeColor="text1"/>
          <w:sz w:val="24"/>
          <w:szCs w:val="24"/>
          <w:highlight w:val="white"/>
        </w:rPr>
        <w:t xml:space="preserve">*= </w:t>
      </w:r>
      <w:r w:rsidRPr="0026106C">
        <w:rPr>
          <w:bCs/>
          <w:color w:val="000000" w:themeColor="text1"/>
          <w:sz w:val="18"/>
          <w:szCs w:val="18"/>
          <w:highlight w:val="white"/>
        </w:rPr>
        <w:t xml:space="preserve">Existing systematic reviews </w:t>
      </w:r>
      <w:r w:rsidRPr="0026106C">
        <w:rPr>
          <w:bCs/>
          <w:color w:val="000000" w:themeColor="text1"/>
          <w:sz w:val="18"/>
          <w:szCs w:val="18"/>
        </w:rPr>
        <w:t>on ‘</w:t>
      </w:r>
      <w:r w:rsidRPr="0026106C">
        <w:rPr>
          <w:bCs/>
          <w:sz w:val="18"/>
          <w:szCs w:val="18"/>
        </w:rPr>
        <w:t>Measurement of breathlessness in advanced disease</w:t>
      </w:r>
      <w:r w:rsidRPr="0026106C">
        <w:rPr>
          <w:bCs/>
          <w:sz w:val="18"/>
          <w:szCs w:val="18"/>
        </w:rPr>
        <w:fldChar w:fldCharType="begin" w:fldLock="1"/>
      </w:r>
      <w:r w:rsidRPr="0026106C">
        <w:rPr>
          <w:bCs/>
          <w:sz w:val="18"/>
          <w:szCs w:val="18"/>
        </w:rPr>
        <w:instrText>ADDIN CSL_CITATION {"citationItems":[{"id":"ITEM-1","itemData":{"DOI":"10.1016/j.rmed.2006.07.003","author":[{"dropping-particle":"","family":"Bausewein","given":"C","non-dropping-particle":"","parse-names":false,"suffix":""},{"dropping-particle":"","family":"Farquhar","given":"M","non-dropping-particle":"","parse-names":false,"suffix":""},{"dropping-particle":"","family":"Booth","given":"S","non-dropping-particle":"","parse-names":false,"suffix":""},{"dropping-particle":"","family":"Gysels","given":"M","non-dropping-particle":"","parse-names":false,"suffix":""},{"dropping-particle":"","family":"Higginson","given":"I J","non-dropping-particle":"","parse-names":false,"suffix":""}],"id":"ITEM-1","issued":{"date-parts":[["2007"]]},"page":"399-410","title":"Measurement of breathlessness in advanced disease : A systematic review","type":"article-journal"},"uris":["http://www.mendeley.com/documents/?uuid=89f9c20e-0a58-45d3-8024-6da2669d257d"]}],"mendeley":{"formattedCitation":"&lt;sup&gt;19&lt;/sup&gt;","plainTextFormattedCitation":"19","previouslyFormattedCitation":"&lt;sup&gt;19&lt;/sup&gt;"},"properties":{"noteIndex":0},"schema":"https://github.com/citation-style-language/schema/raw/master/csl-citation.json"}</w:instrText>
      </w:r>
      <w:r w:rsidRPr="0026106C">
        <w:rPr>
          <w:bCs/>
          <w:sz w:val="18"/>
          <w:szCs w:val="18"/>
        </w:rPr>
        <w:fldChar w:fldCharType="separate"/>
      </w:r>
      <w:r w:rsidRPr="0026106C">
        <w:rPr>
          <w:bCs/>
          <w:noProof/>
          <w:sz w:val="18"/>
          <w:szCs w:val="18"/>
          <w:vertAlign w:val="superscript"/>
        </w:rPr>
        <w:t>19</w:t>
      </w:r>
      <w:r w:rsidRPr="0026106C">
        <w:rPr>
          <w:bCs/>
          <w:sz w:val="18"/>
          <w:szCs w:val="18"/>
        </w:rPr>
        <w:fldChar w:fldCharType="end"/>
      </w:r>
      <w:r w:rsidRPr="0026106C">
        <w:rPr>
          <w:bCs/>
          <w:sz w:val="18"/>
          <w:szCs w:val="18"/>
        </w:rPr>
        <w:t xml:space="preserve"> (focussing on progressive disease with limited prognosis) and </w:t>
      </w:r>
      <w:r w:rsidRPr="0026106C">
        <w:rPr>
          <w:bCs/>
          <w:color w:val="000000"/>
          <w:sz w:val="18"/>
          <w:szCs w:val="18"/>
        </w:rPr>
        <w:t>Studies of the symptom dyspnoea: A systematic review</w:t>
      </w:r>
      <w:r w:rsidRPr="0026106C">
        <w:rPr>
          <w:bCs/>
          <w:color w:val="000000"/>
          <w:sz w:val="18"/>
          <w:szCs w:val="18"/>
        </w:rPr>
        <w:fldChar w:fldCharType="begin" w:fldLock="1"/>
      </w:r>
      <w:r w:rsidRPr="0026106C">
        <w:rPr>
          <w:bCs/>
          <w:color w:val="000000"/>
          <w:sz w:val="18"/>
          <w:szCs w:val="18"/>
        </w:rPr>
        <w:instrText>ADDIN CSL_CITATION {"citationItems":[{"id":"ITEM-1","itemData":{"DOI":"10.1186/s12875-015-0373-z","ISSN":"1471-2296","author":[{"dropping-particle":"","family":"Viniol","given":"Annika","non-dropping-particle":"","parse-names":false,"suffix":""},{"dropping-particle":"","family":"Beidatsch","given":"Dominik","non-dropping-particle":"","parse-names":false,"suffix":""},{"dropping-particle":"","family":"Frese","given":"Thomas","non-dropping-particle":"","parse-names":false,"suffix":""},{"dropping-particle":"","family":"Bergmann","given":"Milena","non-dropping-particle":"","parse-names":false,"suffix":""},{"dropping-particle":"","family":"Grevenrath","given":"Paula","non-dropping-particle":"","parse-names":false,"suffix":""},{"dropping-particle":"","family":"Schmidt","given":"Laura","non-dropping-particle":"","parse-names":false,"suffix":""},{"dropping-particle":"","family":"Schwarm","given":"Sonja","non-dropping-particle":"","parse-names":false,"suffix":""},{"dropping-particle":"","family":"Haasenritter","given":"Jörg","non-dropping-particle":"","parse-names":false,"suffix":""},{"dropping-particle":"","family":"Bösner","given":"Stefan","non-dropping-particle":"","parse-names":false,"suffix":""},{"dropping-particle":"","family":"Becker","given":"Annette","non-dropping-particle":"","parse-names":false,"suffix":""}],"container-title":"BMC Family Practice","id":"ITEM-1","issued":{"date-parts":[["2015"]]},"publisher":"BMC Family Practice","title":"Studies of the symptom dyspnoea : A systematic review","type":"article-journal"},"uris":["http://www.mendeley.com/documents/?uuid=6290dbd5-7f4d-4dc3-bcb1-3ec5d457ea99"]}],"mendeley":{"formattedCitation":"&lt;sup&gt;20&lt;/sup&gt;","plainTextFormattedCitation":"20"},"properties":{"noteIndex":0},"schema":"https://github.com/citation-style-language/schema/raw/master/csl-citation.json"}</w:instrText>
      </w:r>
      <w:r w:rsidRPr="0026106C">
        <w:rPr>
          <w:bCs/>
          <w:color w:val="000000"/>
          <w:sz w:val="18"/>
          <w:szCs w:val="18"/>
        </w:rPr>
        <w:fldChar w:fldCharType="separate"/>
      </w:r>
      <w:r w:rsidRPr="0026106C">
        <w:rPr>
          <w:bCs/>
          <w:noProof/>
          <w:color w:val="000000"/>
          <w:sz w:val="18"/>
          <w:szCs w:val="18"/>
          <w:vertAlign w:val="superscript"/>
        </w:rPr>
        <w:t>20</w:t>
      </w:r>
      <w:r w:rsidRPr="0026106C">
        <w:rPr>
          <w:bCs/>
          <w:color w:val="000000"/>
          <w:sz w:val="18"/>
          <w:szCs w:val="18"/>
        </w:rPr>
        <w:fldChar w:fldCharType="end"/>
      </w:r>
      <w:r w:rsidRPr="0026106C">
        <w:rPr>
          <w:bCs/>
          <w:color w:val="000000"/>
          <w:sz w:val="18"/>
          <w:szCs w:val="18"/>
        </w:rPr>
        <w:t xml:space="preserve"> (focussing on the frequency and causes of </w:t>
      </w:r>
      <w:proofErr w:type="spellStart"/>
      <w:r w:rsidRPr="0026106C">
        <w:rPr>
          <w:bCs/>
          <w:color w:val="000000"/>
          <w:sz w:val="18"/>
          <w:szCs w:val="18"/>
        </w:rPr>
        <w:t>dysnoeia</w:t>
      </w:r>
      <w:proofErr w:type="spellEnd"/>
      <w:r w:rsidRPr="0026106C">
        <w:rPr>
          <w:bCs/>
          <w:color w:val="000000"/>
          <w:sz w:val="18"/>
          <w:szCs w:val="18"/>
        </w:rPr>
        <w:t>) were identified but deemed not relevant.  This is a selection of studies mentioned in these reviews.</w:t>
      </w:r>
    </w:p>
    <w:p w14:paraId="2B92BA79" w14:textId="77777777" w:rsidR="0026106C" w:rsidRDefault="0026106C" w:rsidP="00567A02">
      <w:pPr>
        <w:spacing w:before="0" w:after="0" w:line="240" w:lineRule="auto"/>
        <w:rPr>
          <w:bCs/>
          <w:color w:val="000000" w:themeColor="text1"/>
          <w:sz w:val="18"/>
          <w:szCs w:val="18"/>
          <w:highlight w:val="white"/>
        </w:rPr>
      </w:pPr>
    </w:p>
    <w:p w14:paraId="5DEF9FE2" w14:textId="77777777" w:rsidR="0026106C" w:rsidRDefault="0026106C" w:rsidP="00567A02">
      <w:pPr>
        <w:spacing w:before="0" w:after="0" w:line="240" w:lineRule="auto"/>
        <w:rPr>
          <w:bCs/>
          <w:color w:val="000000" w:themeColor="text1"/>
          <w:sz w:val="18"/>
          <w:szCs w:val="18"/>
          <w:highlight w:val="white"/>
        </w:rPr>
      </w:pPr>
    </w:p>
    <w:p w14:paraId="7946D3AB" w14:textId="37088C00" w:rsidR="0026106C" w:rsidRDefault="0026106C" w:rsidP="00567A02">
      <w:pPr>
        <w:spacing w:before="0" w:after="0" w:line="240" w:lineRule="auto"/>
        <w:rPr>
          <w:bCs/>
          <w:color w:val="000000" w:themeColor="text1"/>
          <w:sz w:val="18"/>
          <w:szCs w:val="18"/>
          <w:highlight w:val="white"/>
        </w:rPr>
        <w:sectPr w:rsidR="0026106C">
          <w:pgSz w:w="15840" w:h="12240"/>
          <w:pgMar w:top="1440" w:right="1440" w:bottom="1440" w:left="1440" w:header="720" w:footer="720" w:gutter="0"/>
          <w:cols w:space="720" w:equalWidth="0">
            <w:col w:w="9360"/>
          </w:cols>
        </w:sectPr>
      </w:pPr>
    </w:p>
    <w:p w14:paraId="4721431A" w14:textId="01319988" w:rsidR="00465C8F" w:rsidRPr="002B3ACE" w:rsidRDefault="00465C8F" w:rsidP="00465C8F">
      <w:pPr>
        <w:rPr>
          <w:b/>
          <w:bCs/>
          <w:sz w:val="18"/>
          <w:szCs w:val="18"/>
          <w:highlight w:val="white"/>
        </w:rPr>
      </w:pPr>
      <w:r w:rsidRPr="002B3ACE">
        <w:rPr>
          <w:b/>
          <w:bCs/>
          <w:sz w:val="18"/>
          <w:szCs w:val="18"/>
          <w:highlight w:val="white"/>
        </w:rPr>
        <w:lastRenderedPageBreak/>
        <w:t>Table 4: Using the Roth Score to assess Dyspnoea in Adults</w:t>
      </w:r>
    </w:p>
    <w:tbl>
      <w:tblPr>
        <w:tblStyle w:val="TableGrid"/>
        <w:tblW w:w="0" w:type="auto"/>
        <w:tblInd w:w="-5" w:type="dxa"/>
        <w:tblLook w:val="04A0" w:firstRow="1" w:lastRow="0" w:firstColumn="1" w:lastColumn="0" w:noHBand="0" w:noVBand="1"/>
      </w:tblPr>
      <w:tblGrid>
        <w:gridCol w:w="1870"/>
        <w:gridCol w:w="1246"/>
        <w:gridCol w:w="624"/>
        <w:gridCol w:w="1870"/>
        <w:gridCol w:w="1870"/>
        <w:gridCol w:w="1870"/>
      </w:tblGrid>
      <w:tr w:rsidR="00465C8F" w:rsidRPr="002B3ACE" w14:paraId="21A77FF3" w14:textId="77777777" w:rsidTr="00465C8F">
        <w:tc>
          <w:tcPr>
            <w:tcW w:w="9350" w:type="dxa"/>
            <w:gridSpan w:val="6"/>
          </w:tcPr>
          <w:p w14:paraId="2B13621B" w14:textId="25D06154" w:rsidR="00465C8F" w:rsidRPr="002B3ACE" w:rsidRDefault="002B3ACE" w:rsidP="00DB39F5">
            <w:pPr>
              <w:rPr>
                <w:sz w:val="18"/>
                <w:szCs w:val="18"/>
                <w:highlight w:val="white"/>
              </w:rPr>
            </w:pPr>
            <w:r w:rsidRPr="002B3ACE">
              <w:rPr>
                <w:b/>
                <w:bCs/>
                <w:sz w:val="18"/>
                <w:szCs w:val="18"/>
                <w:highlight w:val="white"/>
              </w:rPr>
              <w:t>Step 1:</w:t>
            </w:r>
            <w:r>
              <w:rPr>
                <w:sz w:val="18"/>
                <w:szCs w:val="18"/>
                <w:highlight w:val="white"/>
              </w:rPr>
              <w:t xml:space="preserve"> </w:t>
            </w:r>
            <w:r w:rsidR="00465C8F" w:rsidRPr="002B3ACE">
              <w:rPr>
                <w:sz w:val="18"/>
                <w:szCs w:val="18"/>
                <w:highlight w:val="white"/>
              </w:rPr>
              <w:t>Ask the patient to take a deep breath and to count as fast as they can from 1 to 30 in a single breath</w:t>
            </w:r>
            <w:r w:rsidR="008C4508">
              <w:rPr>
                <w:sz w:val="18"/>
                <w:szCs w:val="18"/>
                <w:highlight w:val="white"/>
              </w:rPr>
              <w:t xml:space="preserve"> in their native language. Time them from the count of 1 until they stop to take a breath</w:t>
            </w:r>
            <w:r w:rsidR="00465C8F" w:rsidRPr="002B3ACE">
              <w:rPr>
                <w:sz w:val="18"/>
                <w:szCs w:val="18"/>
                <w:highlight w:val="white"/>
              </w:rPr>
              <w:t>.</w:t>
            </w:r>
          </w:p>
        </w:tc>
      </w:tr>
      <w:tr w:rsidR="00465C8F" w:rsidRPr="002B3ACE" w14:paraId="1F88FBC6" w14:textId="77777777" w:rsidTr="00465C8F">
        <w:tc>
          <w:tcPr>
            <w:tcW w:w="9350" w:type="dxa"/>
            <w:gridSpan w:val="6"/>
          </w:tcPr>
          <w:p w14:paraId="31E45476" w14:textId="0DF475A8" w:rsidR="00465C8F" w:rsidRPr="002B3ACE" w:rsidRDefault="002B3ACE" w:rsidP="00DB39F5">
            <w:pPr>
              <w:rPr>
                <w:sz w:val="18"/>
                <w:szCs w:val="18"/>
                <w:highlight w:val="white"/>
              </w:rPr>
            </w:pPr>
            <w:r w:rsidRPr="002B3ACE">
              <w:rPr>
                <w:b/>
                <w:bCs/>
                <w:sz w:val="18"/>
                <w:szCs w:val="18"/>
                <w:highlight w:val="white"/>
              </w:rPr>
              <w:t>Step 2:</w:t>
            </w:r>
            <w:r>
              <w:rPr>
                <w:sz w:val="18"/>
                <w:szCs w:val="18"/>
                <w:highlight w:val="white"/>
              </w:rPr>
              <w:t xml:space="preserve"> </w:t>
            </w:r>
            <w:r w:rsidR="00465C8F" w:rsidRPr="002B3ACE">
              <w:rPr>
                <w:sz w:val="18"/>
                <w:szCs w:val="18"/>
                <w:highlight w:val="white"/>
              </w:rPr>
              <w:t xml:space="preserve">The amount of time it takes for the patient to have to take a breath in is the </w:t>
            </w:r>
            <w:r w:rsidR="00465C8F" w:rsidRPr="002B3ACE">
              <w:rPr>
                <w:b/>
                <w:bCs/>
                <w:sz w:val="18"/>
                <w:szCs w:val="18"/>
                <w:highlight w:val="white"/>
              </w:rPr>
              <w:t>counting time</w:t>
            </w:r>
            <w:r w:rsidR="00465C8F" w:rsidRPr="002B3ACE">
              <w:rPr>
                <w:sz w:val="18"/>
                <w:szCs w:val="18"/>
                <w:highlight w:val="white"/>
              </w:rPr>
              <w:t xml:space="preserve">. The highest number they reached while counting with one breath is the </w:t>
            </w:r>
            <w:r w:rsidRPr="002B3ACE">
              <w:rPr>
                <w:b/>
                <w:bCs/>
                <w:sz w:val="18"/>
                <w:szCs w:val="18"/>
                <w:highlight w:val="white"/>
              </w:rPr>
              <w:t>highest</w:t>
            </w:r>
            <w:r w:rsidR="00465C8F" w:rsidRPr="002B3ACE">
              <w:rPr>
                <w:b/>
                <w:bCs/>
                <w:sz w:val="18"/>
                <w:szCs w:val="18"/>
                <w:highlight w:val="white"/>
              </w:rPr>
              <w:t xml:space="preserve"> number</w:t>
            </w:r>
            <w:r>
              <w:rPr>
                <w:b/>
                <w:bCs/>
                <w:sz w:val="18"/>
                <w:szCs w:val="18"/>
                <w:highlight w:val="white"/>
              </w:rPr>
              <w:t xml:space="preserve"> reached</w:t>
            </w:r>
            <w:r w:rsidR="00465C8F" w:rsidRPr="002B3ACE">
              <w:rPr>
                <w:sz w:val="18"/>
                <w:szCs w:val="18"/>
                <w:highlight w:val="white"/>
              </w:rPr>
              <w:t>.</w:t>
            </w:r>
          </w:p>
        </w:tc>
      </w:tr>
      <w:tr w:rsidR="002B3ACE" w:rsidRPr="002B3ACE" w14:paraId="7BA0BCD2" w14:textId="77777777" w:rsidTr="007B4F46">
        <w:tc>
          <w:tcPr>
            <w:tcW w:w="3116" w:type="dxa"/>
            <w:gridSpan w:val="2"/>
          </w:tcPr>
          <w:p w14:paraId="6FB9FEA0" w14:textId="43B6B1FE" w:rsidR="002B3ACE" w:rsidRPr="002B3ACE" w:rsidRDefault="002B3ACE" w:rsidP="00DB39F5">
            <w:pPr>
              <w:rPr>
                <w:b/>
                <w:bCs/>
                <w:sz w:val="18"/>
                <w:szCs w:val="18"/>
                <w:highlight w:val="white"/>
              </w:rPr>
            </w:pPr>
            <w:r>
              <w:rPr>
                <w:b/>
                <w:bCs/>
                <w:sz w:val="18"/>
                <w:szCs w:val="18"/>
                <w:highlight w:val="white"/>
              </w:rPr>
              <w:t>Score</w:t>
            </w:r>
          </w:p>
        </w:tc>
        <w:tc>
          <w:tcPr>
            <w:tcW w:w="6234" w:type="dxa"/>
            <w:gridSpan w:val="4"/>
          </w:tcPr>
          <w:p w14:paraId="4D6A21D5" w14:textId="480ED7E3" w:rsidR="002B3ACE" w:rsidRPr="001375A5" w:rsidRDefault="002B3ACE" w:rsidP="00DB39F5">
            <w:pPr>
              <w:rPr>
                <w:b/>
                <w:bCs/>
                <w:sz w:val="18"/>
                <w:szCs w:val="18"/>
                <w:highlight w:val="white"/>
              </w:rPr>
            </w:pPr>
            <w:r w:rsidRPr="001375A5">
              <w:rPr>
                <w:b/>
                <w:bCs/>
                <w:sz w:val="18"/>
                <w:szCs w:val="18"/>
                <w:highlight w:val="white"/>
              </w:rPr>
              <w:t>Interpretation</w:t>
            </w:r>
          </w:p>
        </w:tc>
      </w:tr>
      <w:tr w:rsidR="00712937" w:rsidRPr="002B3ACE" w14:paraId="1276603A" w14:textId="77777777" w:rsidTr="007B4F46">
        <w:tc>
          <w:tcPr>
            <w:tcW w:w="3116" w:type="dxa"/>
            <w:gridSpan w:val="2"/>
          </w:tcPr>
          <w:p w14:paraId="652FAAA7" w14:textId="14992BB0" w:rsidR="00712937" w:rsidRPr="001375A5" w:rsidRDefault="00712937" w:rsidP="00DB39F5">
            <w:pPr>
              <w:rPr>
                <w:sz w:val="18"/>
                <w:szCs w:val="18"/>
                <w:highlight w:val="white"/>
              </w:rPr>
            </w:pPr>
            <w:r w:rsidRPr="001375A5">
              <w:rPr>
                <w:sz w:val="18"/>
                <w:szCs w:val="18"/>
                <w:highlight w:val="white"/>
              </w:rPr>
              <w:t xml:space="preserve">Counting time is 8 or less </w:t>
            </w:r>
          </w:p>
        </w:tc>
        <w:tc>
          <w:tcPr>
            <w:tcW w:w="6234" w:type="dxa"/>
            <w:gridSpan w:val="4"/>
          </w:tcPr>
          <w:p w14:paraId="11981550" w14:textId="0BC98104" w:rsidR="00712937" w:rsidRPr="002B3ACE" w:rsidRDefault="00712937" w:rsidP="00DB39F5">
            <w:pPr>
              <w:rPr>
                <w:sz w:val="18"/>
                <w:szCs w:val="18"/>
                <w:highlight w:val="white"/>
              </w:rPr>
            </w:pPr>
            <w:r w:rsidRPr="002B3ACE">
              <w:rPr>
                <w:sz w:val="18"/>
                <w:szCs w:val="18"/>
                <w:highlight w:val="white"/>
              </w:rPr>
              <w:t>Will detect 78% of persons with pulse oximetry less than 95%</w:t>
            </w:r>
          </w:p>
        </w:tc>
      </w:tr>
      <w:tr w:rsidR="00712937" w:rsidRPr="002B3ACE" w14:paraId="481380F8" w14:textId="77777777" w:rsidTr="007B4F46">
        <w:tc>
          <w:tcPr>
            <w:tcW w:w="3116" w:type="dxa"/>
            <w:gridSpan w:val="2"/>
          </w:tcPr>
          <w:p w14:paraId="734561C1" w14:textId="6CD21077" w:rsidR="00712937" w:rsidRPr="001375A5" w:rsidRDefault="00712937" w:rsidP="00DB39F5">
            <w:pPr>
              <w:rPr>
                <w:sz w:val="18"/>
                <w:szCs w:val="18"/>
                <w:highlight w:val="white"/>
              </w:rPr>
            </w:pPr>
            <w:r w:rsidRPr="001375A5">
              <w:rPr>
                <w:sz w:val="18"/>
                <w:szCs w:val="18"/>
                <w:highlight w:val="white"/>
              </w:rPr>
              <w:t>Counting time is 5 or less</w:t>
            </w:r>
          </w:p>
        </w:tc>
        <w:tc>
          <w:tcPr>
            <w:tcW w:w="6234" w:type="dxa"/>
            <w:gridSpan w:val="4"/>
          </w:tcPr>
          <w:p w14:paraId="47C412D6" w14:textId="7FF25CDE" w:rsidR="00712937" w:rsidRPr="002B3ACE" w:rsidRDefault="00712937" w:rsidP="00DB39F5">
            <w:pPr>
              <w:rPr>
                <w:sz w:val="18"/>
                <w:szCs w:val="18"/>
                <w:highlight w:val="white"/>
              </w:rPr>
            </w:pPr>
            <w:r w:rsidRPr="002B3ACE">
              <w:rPr>
                <w:sz w:val="18"/>
                <w:szCs w:val="18"/>
                <w:highlight w:val="white"/>
              </w:rPr>
              <w:t xml:space="preserve">Will detect 91% of persons with pulse oximetry </w:t>
            </w:r>
            <w:r w:rsidR="002A0129" w:rsidRPr="002B3ACE">
              <w:rPr>
                <w:sz w:val="18"/>
                <w:szCs w:val="18"/>
                <w:highlight w:val="white"/>
              </w:rPr>
              <w:t>of &lt;95%</w:t>
            </w:r>
          </w:p>
        </w:tc>
      </w:tr>
      <w:tr w:rsidR="002A0129" w:rsidRPr="002B3ACE" w14:paraId="614DB986" w14:textId="77777777" w:rsidTr="007B4F46">
        <w:tc>
          <w:tcPr>
            <w:tcW w:w="3116" w:type="dxa"/>
            <w:gridSpan w:val="2"/>
          </w:tcPr>
          <w:p w14:paraId="050377D5" w14:textId="12033FA7" w:rsidR="002A0129" w:rsidRPr="001375A5" w:rsidRDefault="002A0129" w:rsidP="00DB39F5">
            <w:pPr>
              <w:rPr>
                <w:sz w:val="18"/>
                <w:szCs w:val="18"/>
                <w:highlight w:val="white"/>
              </w:rPr>
            </w:pPr>
            <w:r w:rsidRPr="001375A5">
              <w:rPr>
                <w:sz w:val="18"/>
                <w:szCs w:val="18"/>
                <w:highlight w:val="white"/>
              </w:rPr>
              <w:t xml:space="preserve">Highest number </w:t>
            </w:r>
            <w:r w:rsidR="002B3ACE" w:rsidRPr="001375A5">
              <w:rPr>
                <w:sz w:val="18"/>
                <w:szCs w:val="18"/>
                <w:highlight w:val="white"/>
              </w:rPr>
              <w:t xml:space="preserve">reached </w:t>
            </w:r>
            <w:r w:rsidRPr="001375A5">
              <w:rPr>
                <w:sz w:val="18"/>
                <w:szCs w:val="18"/>
                <w:highlight w:val="white"/>
              </w:rPr>
              <w:t>is 10 or less</w:t>
            </w:r>
          </w:p>
        </w:tc>
        <w:tc>
          <w:tcPr>
            <w:tcW w:w="6234" w:type="dxa"/>
            <w:gridSpan w:val="4"/>
          </w:tcPr>
          <w:p w14:paraId="7118D91A" w14:textId="47208EFE" w:rsidR="002A0129" w:rsidRPr="002B3ACE" w:rsidRDefault="002A0129" w:rsidP="00DB39F5">
            <w:pPr>
              <w:rPr>
                <w:sz w:val="18"/>
                <w:szCs w:val="18"/>
                <w:highlight w:val="white"/>
              </w:rPr>
            </w:pPr>
            <w:r w:rsidRPr="002B3ACE">
              <w:rPr>
                <w:sz w:val="18"/>
                <w:szCs w:val="18"/>
                <w:highlight w:val="white"/>
              </w:rPr>
              <w:t>Will detect 91% of persons with pulse oximetry of &lt;95%</w:t>
            </w:r>
          </w:p>
        </w:tc>
      </w:tr>
      <w:tr w:rsidR="002A0129" w:rsidRPr="002B3ACE" w14:paraId="05D051EC" w14:textId="77777777" w:rsidTr="007B4F46">
        <w:tc>
          <w:tcPr>
            <w:tcW w:w="3116" w:type="dxa"/>
            <w:gridSpan w:val="2"/>
          </w:tcPr>
          <w:p w14:paraId="0E44686B" w14:textId="091A66EE" w:rsidR="002A0129" w:rsidRPr="001375A5" w:rsidRDefault="002A0129" w:rsidP="00DB39F5">
            <w:pPr>
              <w:rPr>
                <w:sz w:val="18"/>
                <w:szCs w:val="18"/>
                <w:highlight w:val="white"/>
              </w:rPr>
            </w:pPr>
            <w:r w:rsidRPr="001375A5">
              <w:rPr>
                <w:sz w:val="18"/>
                <w:szCs w:val="18"/>
                <w:highlight w:val="white"/>
              </w:rPr>
              <w:t>Highest number</w:t>
            </w:r>
            <w:r w:rsidR="002B3ACE" w:rsidRPr="001375A5">
              <w:rPr>
                <w:sz w:val="18"/>
                <w:szCs w:val="18"/>
                <w:highlight w:val="white"/>
              </w:rPr>
              <w:t xml:space="preserve"> reached is 7 or less</w:t>
            </w:r>
          </w:p>
        </w:tc>
        <w:tc>
          <w:tcPr>
            <w:tcW w:w="6234" w:type="dxa"/>
            <w:gridSpan w:val="4"/>
          </w:tcPr>
          <w:p w14:paraId="71668A30" w14:textId="470C8820" w:rsidR="002A0129" w:rsidRPr="002B3ACE" w:rsidRDefault="002B3ACE" w:rsidP="00DB39F5">
            <w:pPr>
              <w:rPr>
                <w:sz w:val="18"/>
                <w:szCs w:val="18"/>
                <w:highlight w:val="white"/>
              </w:rPr>
            </w:pPr>
            <w:r w:rsidRPr="002B3ACE">
              <w:rPr>
                <w:sz w:val="18"/>
                <w:szCs w:val="18"/>
                <w:highlight w:val="white"/>
              </w:rPr>
              <w:t>Will detect 100% of persons with pulse oximetry of &lt;95%</w:t>
            </w:r>
          </w:p>
        </w:tc>
      </w:tr>
      <w:tr w:rsidR="00465C8F" w:rsidRPr="002B3ACE" w14:paraId="69B12E4D" w14:textId="77777777" w:rsidTr="0047053F">
        <w:tc>
          <w:tcPr>
            <w:tcW w:w="1870" w:type="dxa"/>
          </w:tcPr>
          <w:p w14:paraId="4D2875C4" w14:textId="77777777" w:rsidR="00465C8F" w:rsidRPr="002B3ACE" w:rsidRDefault="00465C8F" w:rsidP="00DB39F5">
            <w:pPr>
              <w:rPr>
                <w:b/>
                <w:bCs/>
                <w:sz w:val="18"/>
                <w:szCs w:val="18"/>
                <w:highlight w:val="white"/>
              </w:rPr>
            </w:pPr>
          </w:p>
        </w:tc>
        <w:tc>
          <w:tcPr>
            <w:tcW w:w="3740" w:type="dxa"/>
            <w:gridSpan w:val="3"/>
          </w:tcPr>
          <w:p w14:paraId="7DDA5453" w14:textId="53AC7433" w:rsidR="00465C8F" w:rsidRPr="002B3ACE" w:rsidRDefault="00712937" w:rsidP="00DB39F5">
            <w:pPr>
              <w:rPr>
                <w:b/>
                <w:bCs/>
                <w:sz w:val="18"/>
                <w:szCs w:val="18"/>
                <w:highlight w:val="white"/>
              </w:rPr>
            </w:pPr>
            <w:r w:rsidRPr="002B3ACE">
              <w:rPr>
                <w:b/>
                <w:bCs/>
                <w:sz w:val="18"/>
                <w:szCs w:val="18"/>
                <w:highlight w:val="white"/>
              </w:rPr>
              <w:t>SaO2 &lt;95% on Room Air</w:t>
            </w:r>
          </w:p>
        </w:tc>
        <w:tc>
          <w:tcPr>
            <w:tcW w:w="3740" w:type="dxa"/>
            <w:gridSpan w:val="2"/>
          </w:tcPr>
          <w:p w14:paraId="67EC276B" w14:textId="18239625" w:rsidR="00465C8F" w:rsidRPr="002B3ACE" w:rsidRDefault="00712937" w:rsidP="00DB39F5">
            <w:pPr>
              <w:rPr>
                <w:b/>
                <w:bCs/>
                <w:sz w:val="18"/>
                <w:szCs w:val="18"/>
                <w:highlight w:val="white"/>
              </w:rPr>
            </w:pPr>
            <w:r w:rsidRPr="002B3ACE">
              <w:rPr>
                <w:b/>
                <w:bCs/>
                <w:sz w:val="18"/>
                <w:szCs w:val="18"/>
                <w:highlight w:val="white"/>
              </w:rPr>
              <w:t>SaO2 &lt;90% on Room Air</w:t>
            </w:r>
          </w:p>
        </w:tc>
      </w:tr>
      <w:tr w:rsidR="00465C8F" w:rsidRPr="002B3ACE" w14:paraId="55207C7B" w14:textId="77777777" w:rsidTr="00465C8F">
        <w:tc>
          <w:tcPr>
            <w:tcW w:w="1870" w:type="dxa"/>
          </w:tcPr>
          <w:p w14:paraId="2C363CFF" w14:textId="69679FCF" w:rsidR="00465C8F" w:rsidRPr="002B3ACE" w:rsidRDefault="002B3ACE" w:rsidP="00DB39F5">
            <w:pPr>
              <w:rPr>
                <w:b/>
                <w:bCs/>
                <w:sz w:val="18"/>
                <w:szCs w:val="18"/>
                <w:highlight w:val="white"/>
              </w:rPr>
            </w:pPr>
            <w:r>
              <w:rPr>
                <w:b/>
                <w:bCs/>
                <w:sz w:val="18"/>
                <w:szCs w:val="18"/>
                <w:highlight w:val="white"/>
              </w:rPr>
              <w:t>Highest number reached</w:t>
            </w:r>
          </w:p>
        </w:tc>
        <w:tc>
          <w:tcPr>
            <w:tcW w:w="1870" w:type="dxa"/>
            <w:gridSpan w:val="2"/>
          </w:tcPr>
          <w:p w14:paraId="37CED8A8" w14:textId="77777777" w:rsidR="00465C8F" w:rsidRPr="002B3ACE" w:rsidRDefault="00465C8F" w:rsidP="00DB39F5">
            <w:pPr>
              <w:rPr>
                <w:b/>
                <w:bCs/>
                <w:sz w:val="18"/>
                <w:szCs w:val="18"/>
                <w:highlight w:val="white"/>
              </w:rPr>
            </w:pPr>
            <w:r w:rsidRPr="002B3ACE">
              <w:rPr>
                <w:b/>
                <w:bCs/>
                <w:sz w:val="18"/>
                <w:szCs w:val="18"/>
                <w:highlight w:val="white"/>
              </w:rPr>
              <w:t>Sensitivity, %</w:t>
            </w:r>
          </w:p>
        </w:tc>
        <w:tc>
          <w:tcPr>
            <w:tcW w:w="1870" w:type="dxa"/>
          </w:tcPr>
          <w:p w14:paraId="155A6C97" w14:textId="77777777" w:rsidR="00465C8F" w:rsidRPr="002B3ACE" w:rsidRDefault="00465C8F" w:rsidP="00DB39F5">
            <w:pPr>
              <w:rPr>
                <w:b/>
                <w:bCs/>
                <w:sz w:val="18"/>
                <w:szCs w:val="18"/>
                <w:highlight w:val="white"/>
              </w:rPr>
            </w:pPr>
            <w:r w:rsidRPr="002B3ACE">
              <w:rPr>
                <w:b/>
                <w:bCs/>
                <w:sz w:val="18"/>
                <w:szCs w:val="18"/>
                <w:highlight w:val="white"/>
              </w:rPr>
              <w:t>Specificity, %</w:t>
            </w:r>
          </w:p>
        </w:tc>
        <w:tc>
          <w:tcPr>
            <w:tcW w:w="1870" w:type="dxa"/>
          </w:tcPr>
          <w:p w14:paraId="4904A23D" w14:textId="77777777" w:rsidR="00465C8F" w:rsidRPr="002B3ACE" w:rsidRDefault="00465C8F" w:rsidP="00DB39F5">
            <w:pPr>
              <w:rPr>
                <w:b/>
                <w:bCs/>
                <w:sz w:val="18"/>
                <w:szCs w:val="18"/>
                <w:highlight w:val="white"/>
              </w:rPr>
            </w:pPr>
            <w:r w:rsidRPr="002B3ACE">
              <w:rPr>
                <w:b/>
                <w:bCs/>
                <w:sz w:val="18"/>
                <w:szCs w:val="18"/>
                <w:highlight w:val="white"/>
              </w:rPr>
              <w:t>Sensitivity, %</w:t>
            </w:r>
          </w:p>
        </w:tc>
        <w:tc>
          <w:tcPr>
            <w:tcW w:w="1870" w:type="dxa"/>
          </w:tcPr>
          <w:p w14:paraId="51D0DFA4" w14:textId="77777777" w:rsidR="00465C8F" w:rsidRPr="002B3ACE" w:rsidRDefault="00465C8F" w:rsidP="00DB39F5">
            <w:pPr>
              <w:rPr>
                <w:b/>
                <w:bCs/>
                <w:sz w:val="18"/>
                <w:szCs w:val="18"/>
                <w:highlight w:val="white"/>
              </w:rPr>
            </w:pPr>
            <w:r w:rsidRPr="002B3ACE">
              <w:rPr>
                <w:b/>
                <w:bCs/>
                <w:sz w:val="18"/>
                <w:szCs w:val="18"/>
                <w:highlight w:val="white"/>
              </w:rPr>
              <w:t>Specificity, %</w:t>
            </w:r>
          </w:p>
        </w:tc>
      </w:tr>
      <w:tr w:rsidR="00465C8F" w:rsidRPr="002B3ACE" w14:paraId="593F3574" w14:textId="77777777" w:rsidTr="00465C8F">
        <w:tc>
          <w:tcPr>
            <w:tcW w:w="1870" w:type="dxa"/>
          </w:tcPr>
          <w:p w14:paraId="5A5455B8" w14:textId="77777777" w:rsidR="00465C8F" w:rsidRPr="002B3ACE" w:rsidRDefault="00465C8F" w:rsidP="002B3ACE">
            <w:pPr>
              <w:spacing w:before="0" w:after="0"/>
              <w:rPr>
                <w:sz w:val="18"/>
                <w:szCs w:val="18"/>
                <w:highlight w:val="white"/>
              </w:rPr>
            </w:pPr>
            <w:r w:rsidRPr="002B3ACE">
              <w:rPr>
                <w:sz w:val="18"/>
                <w:szCs w:val="18"/>
                <w:highlight w:val="white"/>
              </w:rPr>
              <w:t>7</w:t>
            </w:r>
          </w:p>
        </w:tc>
        <w:tc>
          <w:tcPr>
            <w:tcW w:w="1870" w:type="dxa"/>
            <w:gridSpan w:val="2"/>
          </w:tcPr>
          <w:p w14:paraId="70696848" w14:textId="77777777" w:rsidR="00465C8F" w:rsidRPr="002B3ACE" w:rsidRDefault="00465C8F" w:rsidP="002B3ACE">
            <w:pPr>
              <w:spacing w:before="0" w:after="0"/>
              <w:rPr>
                <w:sz w:val="18"/>
                <w:szCs w:val="18"/>
                <w:highlight w:val="white"/>
              </w:rPr>
            </w:pPr>
            <w:r w:rsidRPr="002B3ACE">
              <w:rPr>
                <w:sz w:val="18"/>
                <w:szCs w:val="18"/>
                <w:highlight w:val="white"/>
              </w:rPr>
              <w:t>100</w:t>
            </w:r>
          </w:p>
        </w:tc>
        <w:tc>
          <w:tcPr>
            <w:tcW w:w="1870" w:type="dxa"/>
          </w:tcPr>
          <w:p w14:paraId="16D27657" w14:textId="77777777" w:rsidR="00465C8F" w:rsidRPr="002B3ACE" w:rsidRDefault="00465C8F" w:rsidP="002B3ACE">
            <w:pPr>
              <w:spacing w:before="0" w:after="0"/>
              <w:rPr>
                <w:sz w:val="18"/>
                <w:szCs w:val="18"/>
                <w:highlight w:val="white"/>
              </w:rPr>
            </w:pPr>
            <w:r w:rsidRPr="002B3ACE">
              <w:rPr>
                <w:sz w:val="18"/>
                <w:szCs w:val="18"/>
                <w:highlight w:val="white"/>
              </w:rPr>
              <w:t>30</w:t>
            </w:r>
          </w:p>
        </w:tc>
        <w:tc>
          <w:tcPr>
            <w:tcW w:w="1870" w:type="dxa"/>
          </w:tcPr>
          <w:p w14:paraId="2312958A" w14:textId="77777777" w:rsidR="00465C8F" w:rsidRPr="002B3ACE" w:rsidRDefault="00465C8F" w:rsidP="002B3ACE">
            <w:pPr>
              <w:spacing w:before="0" w:after="0"/>
              <w:rPr>
                <w:sz w:val="18"/>
                <w:szCs w:val="18"/>
                <w:highlight w:val="white"/>
              </w:rPr>
            </w:pPr>
            <w:r w:rsidRPr="002B3ACE">
              <w:rPr>
                <w:sz w:val="18"/>
                <w:szCs w:val="18"/>
                <w:highlight w:val="white"/>
              </w:rPr>
              <w:t>87</w:t>
            </w:r>
          </w:p>
        </w:tc>
        <w:tc>
          <w:tcPr>
            <w:tcW w:w="1870" w:type="dxa"/>
          </w:tcPr>
          <w:p w14:paraId="1AFF8FE0" w14:textId="77777777" w:rsidR="00465C8F" w:rsidRPr="002B3ACE" w:rsidRDefault="00465C8F" w:rsidP="002B3ACE">
            <w:pPr>
              <w:spacing w:before="0" w:after="0"/>
              <w:rPr>
                <w:sz w:val="18"/>
                <w:szCs w:val="18"/>
                <w:highlight w:val="white"/>
              </w:rPr>
            </w:pPr>
            <w:r w:rsidRPr="002B3ACE">
              <w:rPr>
                <w:sz w:val="18"/>
                <w:szCs w:val="18"/>
                <w:highlight w:val="white"/>
              </w:rPr>
              <w:t>48</w:t>
            </w:r>
          </w:p>
        </w:tc>
      </w:tr>
      <w:tr w:rsidR="00465C8F" w:rsidRPr="002B3ACE" w14:paraId="1A0A97BF" w14:textId="77777777" w:rsidTr="00465C8F">
        <w:tc>
          <w:tcPr>
            <w:tcW w:w="1870" w:type="dxa"/>
          </w:tcPr>
          <w:p w14:paraId="68F27C01" w14:textId="77777777" w:rsidR="00465C8F" w:rsidRPr="002B3ACE" w:rsidRDefault="00465C8F" w:rsidP="002B3ACE">
            <w:pPr>
              <w:spacing w:before="0" w:after="0"/>
              <w:rPr>
                <w:sz w:val="18"/>
                <w:szCs w:val="18"/>
                <w:highlight w:val="white"/>
              </w:rPr>
            </w:pPr>
            <w:r w:rsidRPr="002B3ACE">
              <w:rPr>
                <w:sz w:val="18"/>
                <w:szCs w:val="18"/>
                <w:highlight w:val="white"/>
              </w:rPr>
              <w:t>10</w:t>
            </w:r>
          </w:p>
        </w:tc>
        <w:tc>
          <w:tcPr>
            <w:tcW w:w="1870" w:type="dxa"/>
            <w:gridSpan w:val="2"/>
          </w:tcPr>
          <w:p w14:paraId="398C1C8A" w14:textId="77777777" w:rsidR="00465C8F" w:rsidRPr="002B3ACE" w:rsidRDefault="00465C8F" w:rsidP="002B3ACE">
            <w:pPr>
              <w:spacing w:before="0" w:after="0"/>
              <w:rPr>
                <w:sz w:val="18"/>
                <w:szCs w:val="18"/>
                <w:highlight w:val="white"/>
              </w:rPr>
            </w:pPr>
            <w:r w:rsidRPr="002B3ACE">
              <w:rPr>
                <w:sz w:val="18"/>
                <w:szCs w:val="18"/>
                <w:highlight w:val="white"/>
              </w:rPr>
              <w:t>91</w:t>
            </w:r>
          </w:p>
        </w:tc>
        <w:tc>
          <w:tcPr>
            <w:tcW w:w="1870" w:type="dxa"/>
          </w:tcPr>
          <w:p w14:paraId="4F2F9C5E" w14:textId="77777777" w:rsidR="00465C8F" w:rsidRPr="002B3ACE" w:rsidRDefault="00465C8F" w:rsidP="002B3ACE">
            <w:pPr>
              <w:spacing w:before="0" w:after="0"/>
              <w:rPr>
                <w:sz w:val="18"/>
                <w:szCs w:val="18"/>
                <w:highlight w:val="white"/>
              </w:rPr>
            </w:pPr>
            <w:r w:rsidRPr="002B3ACE">
              <w:rPr>
                <w:sz w:val="18"/>
                <w:szCs w:val="18"/>
                <w:highlight w:val="white"/>
              </w:rPr>
              <w:t>43</w:t>
            </w:r>
          </w:p>
        </w:tc>
        <w:tc>
          <w:tcPr>
            <w:tcW w:w="1870" w:type="dxa"/>
          </w:tcPr>
          <w:p w14:paraId="708EB1DD" w14:textId="77777777" w:rsidR="00465C8F" w:rsidRPr="002B3ACE" w:rsidRDefault="00465C8F" w:rsidP="002B3ACE">
            <w:pPr>
              <w:spacing w:before="0" w:after="0"/>
              <w:rPr>
                <w:sz w:val="18"/>
                <w:szCs w:val="18"/>
                <w:highlight w:val="white"/>
              </w:rPr>
            </w:pPr>
            <w:r w:rsidRPr="002B3ACE">
              <w:rPr>
                <w:sz w:val="18"/>
                <w:szCs w:val="18"/>
                <w:highlight w:val="white"/>
              </w:rPr>
              <w:t>78</w:t>
            </w:r>
          </w:p>
        </w:tc>
        <w:tc>
          <w:tcPr>
            <w:tcW w:w="1870" w:type="dxa"/>
          </w:tcPr>
          <w:p w14:paraId="2D4A64D2" w14:textId="77777777" w:rsidR="00465C8F" w:rsidRPr="002B3ACE" w:rsidRDefault="00465C8F" w:rsidP="002B3ACE">
            <w:pPr>
              <w:spacing w:before="0" w:after="0"/>
              <w:rPr>
                <w:sz w:val="18"/>
                <w:szCs w:val="18"/>
                <w:highlight w:val="white"/>
              </w:rPr>
            </w:pPr>
            <w:r w:rsidRPr="002B3ACE">
              <w:rPr>
                <w:sz w:val="18"/>
                <w:szCs w:val="18"/>
                <w:highlight w:val="white"/>
              </w:rPr>
              <w:t>68</w:t>
            </w:r>
          </w:p>
        </w:tc>
      </w:tr>
      <w:tr w:rsidR="00465C8F" w:rsidRPr="002B3ACE" w14:paraId="296CF3D0" w14:textId="77777777" w:rsidTr="00465C8F">
        <w:tc>
          <w:tcPr>
            <w:tcW w:w="1870" w:type="dxa"/>
          </w:tcPr>
          <w:p w14:paraId="236C2A7E" w14:textId="77777777" w:rsidR="00465C8F" w:rsidRPr="002B3ACE" w:rsidRDefault="00465C8F" w:rsidP="002B3ACE">
            <w:pPr>
              <w:spacing w:before="0" w:after="0"/>
              <w:rPr>
                <w:sz w:val="18"/>
                <w:szCs w:val="18"/>
                <w:highlight w:val="white"/>
              </w:rPr>
            </w:pPr>
            <w:r w:rsidRPr="002B3ACE">
              <w:rPr>
                <w:sz w:val="18"/>
                <w:szCs w:val="18"/>
                <w:highlight w:val="white"/>
              </w:rPr>
              <w:t>15</w:t>
            </w:r>
          </w:p>
        </w:tc>
        <w:tc>
          <w:tcPr>
            <w:tcW w:w="1870" w:type="dxa"/>
            <w:gridSpan w:val="2"/>
          </w:tcPr>
          <w:p w14:paraId="07A6EEC8" w14:textId="77777777" w:rsidR="00465C8F" w:rsidRPr="002B3ACE" w:rsidRDefault="00465C8F" w:rsidP="002B3ACE">
            <w:pPr>
              <w:spacing w:before="0" w:after="0"/>
              <w:rPr>
                <w:sz w:val="18"/>
                <w:szCs w:val="18"/>
                <w:highlight w:val="white"/>
              </w:rPr>
            </w:pPr>
            <w:r w:rsidRPr="002B3ACE">
              <w:rPr>
                <w:sz w:val="18"/>
                <w:szCs w:val="18"/>
                <w:highlight w:val="white"/>
              </w:rPr>
              <w:t>83</w:t>
            </w:r>
          </w:p>
        </w:tc>
        <w:tc>
          <w:tcPr>
            <w:tcW w:w="1870" w:type="dxa"/>
          </w:tcPr>
          <w:p w14:paraId="2A231B51" w14:textId="77777777" w:rsidR="00465C8F" w:rsidRPr="002B3ACE" w:rsidRDefault="00465C8F" w:rsidP="002B3ACE">
            <w:pPr>
              <w:spacing w:before="0" w:after="0"/>
              <w:rPr>
                <w:sz w:val="18"/>
                <w:szCs w:val="18"/>
                <w:highlight w:val="white"/>
              </w:rPr>
            </w:pPr>
            <w:r w:rsidRPr="002B3ACE">
              <w:rPr>
                <w:sz w:val="18"/>
                <w:szCs w:val="18"/>
                <w:highlight w:val="white"/>
              </w:rPr>
              <w:t>71</w:t>
            </w:r>
          </w:p>
        </w:tc>
        <w:tc>
          <w:tcPr>
            <w:tcW w:w="1870" w:type="dxa"/>
          </w:tcPr>
          <w:p w14:paraId="1FDBAFCB" w14:textId="77777777" w:rsidR="00465C8F" w:rsidRPr="002B3ACE" w:rsidRDefault="00465C8F" w:rsidP="002B3ACE">
            <w:pPr>
              <w:spacing w:before="0" w:after="0"/>
              <w:rPr>
                <w:sz w:val="18"/>
                <w:szCs w:val="18"/>
                <w:highlight w:val="white"/>
              </w:rPr>
            </w:pPr>
            <w:r w:rsidRPr="002B3ACE">
              <w:rPr>
                <w:sz w:val="18"/>
                <w:szCs w:val="18"/>
                <w:highlight w:val="white"/>
              </w:rPr>
              <w:t>57</w:t>
            </w:r>
          </w:p>
        </w:tc>
        <w:tc>
          <w:tcPr>
            <w:tcW w:w="1870" w:type="dxa"/>
          </w:tcPr>
          <w:p w14:paraId="49F3CF85" w14:textId="77777777" w:rsidR="00465C8F" w:rsidRPr="002B3ACE" w:rsidRDefault="00465C8F" w:rsidP="002B3ACE">
            <w:pPr>
              <w:spacing w:before="0" w:after="0"/>
              <w:rPr>
                <w:sz w:val="18"/>
                <w:szCs w:val="18"/>
                <w:highlight w:val="white"/>
              </w:rPr>
            </w:pPr>
            <w:r w:rsidRPr="002B3ACE">
              <w:rPr>
                <w:sz w:val="18"/>
                <w:szCs w:val="18"/>
                <w:highlight w:val="white"/>
              </w:rPr>
              <w:t>100</w:t>
            </w:r>
          </w:p>
        </w:tc>
      </w:tr>
      <w:tr w:rsidR="00465C8F" w:rsidRPr="002B3ACE" w14:paraId="015E8005" w14:textId="77777777" w:rsidTr="00465C8F">
        <w:tc>
          <w:tcPr>
            <w:tcW w:w="1870" w:type="dxa"/>
          </w:tcPr>
          <w:p w14:paraId="53D24BE0" w14:textId="77777777" w:rsidR="00465C8F" w:rsidRPr="002B3ACE" w:rsidRDefault="00465C8F" w:rsidP="002B3ACE">
            <w:pPr>
              <w:spacing w:before="0" w:after="0"/>
              <w:rPr>
                <w:sz w:val="18"/>
                <w:szCs w:val="18"/>
                <w:highlight w:val="white"/>
              </w:rPr>
            </w:pPr>
            <w:r w:rsidRPr="002B3ACE">
              <w:rPr>
                <w:sz w:val="18"/>
                <w:szCs w:val="18"/>
                <w:highlight w:val="white"/>
              </w:rPr>
              <w:t>20</w:t>
            </w:r>
          </w:p>
        </w:tc>
        <w:tc>
          <w:tcPr>
            <w:tcW w:w="1870" w:type="dxa"/>
            <w:gridSpan w:val="2"/>
          </w:tcPr>
          <w:p w14:paraId="45B5BDFF" w14:textId="77777777" w:rsidR="00465C8F" w:rsidRPr="002B3ACE" w:rsidRDefault="00465C8F" w:rsidP="002B3ACE">
            <w:pPr>
              <w:spacing w:before="0" w:after="0"/>
              <w:rPr>
                <w:sz w:val="18"/>
                <w:szCs w:val="18"/>
                <w:highlight w:val="white"/>
              </w:rPr>
            </w:pPr>
            <w:r w:rsidRPr="002B3ACE">
              <w:rPr>
                <w:sz w:val="18"/>
                <w:szCs w:val="18"/>
                <w:highlight w:val="white"/>
              </w:rPr>
              <w:t>57</w:t>
            </w:r>
          </w:p>
        </w:tc>
        <w:tc>
          <w:tcPr>
            <w:tcW w:w="1870" w:type="dxa"/>
          </w:tcPr>
          <w:p w14:paraId="6846AF82" w14:textId="77777777" w:rsidR="00465C8F" w:rsidRPr="002B3ACE" w:rsidRDefault="00465C8F" w:rsidP="002B3ACE">
            <w:pPr>
              <w:spacing w:before="0" w:after="0"/>
              <w:rPr>
                <w:sz w:val="18"/>
                <w:szCs w:val="18"/>
                <w:highlight w:val="white"/>
              </w:rPr>
            </w:pPr>
            <w:r w:rsidRPr="002B3ACE">
              <w:rPr>
                <w:sz w:val="18"/>
                <w:szCs w:val="18"/>
                <w:highlight w:val="white"/>
              </w:rPr>
              <w:t>87</w:t>
            </w:r>
          </w:p>
        </w:tc>
        <w:tc>
          <w:tcPr>
            <w:tcW w:w="1870" w:type="dxa"/>
          </w:tcPr>
          <w:p w14:paraId="7AC80030" w14:textId="77777777" w:rsidR="00465C8F" w:rsidRPr="002B3ACE" w:rsidRDefault="00465C8F" w:rsidP="002B3ACE">
            <w:pPr>
              <w:spacing w:before="0" w:after="0"/>
              <w:rPr>
                <w:sz w:val="18"/>
                <w:szCs w:val="18"/>
                <w:highlight w:val="white"/>
              </w:rPr>
            </w:pPr>
            <w:r w:rsidRPr="002B3ACE">
              <w:rPr>
                <w:sz w:val="18"/>
                <w:szCs w:val="18"/>
                <w:highlight w:val="white"/>
              </w:rPr>
              <w:t>32</w:t>
            </w:r>
          </w:p>
        </w:tc>
        <w:tc>
          <w:tcPr>
            <w:tcW w:w="1870" w:type="dxa"/>
          </w:tcPr>
          <w:p w14:paraId="65BC3C34" w14:textId="77777777" w:rsidR="00465C8F" w:rsidRPr="002B3ACE" w:rsidRDefault="00465C8F" w:rsidP="002B3ACE">
            <w:pPr>
              <w:spacing w:before="0" w:after="0"/>
              <w:rPr>
                <w:sz w:val="18"/>
                <w:szCs w:val="18"/>
                <w:highlight w:val="white"/>
              </w:rPr>
            </w:pPr>
            <w:r w:rsidRPr="002B3ACE">
              <w:rPr>
                <w:sz w:val="18"/>
                <w:szCs w:val="18"/>
                <w:highlight w:val="white"/>
              </w:rPr>
              <w:t>100</w:t>
            </w:r>
          </w:p>
        </w:tc>
      </w:tr>
      <w:tr w:rsidR="00465C8F" w:rsidRPr="002B3ACE" w14:paraId="3678BBF0" w14:textId="77777777" w:rsidTr="00465C8F">
        <w:tc>
          <w:tcPr>
            <w:tcW w:w="1870" w:type="dxa"/>
          </w:tcPr>
          <w:p w14:paraId="2161ED3A" w14:textId="4881BD01" w:rsidR="00465C8F" w:rsidRPr="002B3ACE" w:rsidRDefault="00465C8F" w:rsidP="00DB39F5">
            <w:pPr>
              <w:rPr>
                <w:b/>
                <w:bCs/>
                <w:sz w:val="18"/>
                <w:szCs w:val="18"/>
                <w:highlight w:val="white"/>
              </w:rPr>
            </w:pPr>
            <w:r w:rsidRPr="002B3ACE">
              <w:rPr>
                <w:b/>
                <w:bCs/>
                <w:sz w:val="18"/>
                <w:szCs w:val="18"/>
                <w:highlight w:val="white"/>
              </w:rPr>
              <w:t xml:space="preserve">Counting time in seconds (How </w:t>
            </w:r>
            <w:r w:rsidR="002B3ACE">
              <w:rPr>
                <w:b/>
                <w:bCs/>
                <w:sz w:val="18"/>
                <w:szCs w:val="18"/>
                <w:highlight w:val="white"/>
              </w:rPr>
              <w:t xml:space="preserve">long </w:t>
            </w:r>
            <w:r w:rsidRPr="002B3ACE">
              <w:rPr>
                <w:b/>
                <w:bCs/>
                <w:sz w:val="18"/>
                <w:szCs w:val="18"/>
                <w:highlight w:val="white"/>
              </w:rPr>
              <w:t>they can count with one breath)</w:t>
            </w:r>
          </w:p>
        </w:tc>
        <w:tc>
          <w:tcPr>
            <w:tcW w:w="1870" w:type="dxa"/>
            <w:gridSpan w:val="2"/>
          </w:tcPr>
          <w:p w14:paraId="44D68065" w14:textId="77777777" w:rsidR="00465C8F" w:rsidRPr="002B3ACE" w:rsidRDefault="00465C8F" w:rsidP="00DB39F5">
            <w:pPr>
              <w:rPr>
                <w:b/>
                <w:bCs/>
                <w:sz w:val="18"/>
                <w:szCs w:val="18"/>
                <w:highlight w:val="white"/>
              </w:rPr>
            </w:pPr>
            <w:r w:rsidRPr="002B3ACE">
              <w:rPr>
                <w:b/>
                <w:bCs/>
                <w:sz w:val="18"/>
                <w:szCs w:val="18"/>
                <w:highlight w:val="white"/>
              </w:rPr>
              <w:t>Sensitivity, %</w:t>
            </w:r>
          </w:p>
        </w:tc>
        <w:tc>
          <w:tcPr>
            <w:tcW w:w="1870" w:type="dxa"/>
          </w:tcPr>
          <w:p w14:paraId="74087C1E" w14:textId="77777777" w:rsidR="00465C8F" w:rsidRPr="002B3ACE" w:rsidRDefault="00465C8F" w:rsidP="00DB39F5">
            <w:pPr>
              <w:rPr>
                <w:b/>
                <w:bCs/>
                <w:sz w:val="18"/>
                <w:szCs w:val="18"/>
                <w:highlight w:val="white"/>
              </w:rPr>
            </w:pPr>
            <w:r w:rsidRPr="002B3ACE">
              <w:rPr>
                <w:b/>
                <w:bCs/>
                <w:sz w:val="18"/>
                <w:szCs w:val="18"/>
                <w:highlight w:val="white"/>
              </w:rPr>
              <w:t>Specificity, %</w:t>
            </w:r>
          </w:p>
        </w:tc>
        <w:tc>
          <w:tcPr>
            <w:tcW w:w="1870" w:type="dxa"/>
          </w:tcPr>
          <w:p w14:paraId="048E6FC2" w14:textId="77777777" w:rsidR="00465C8F" w:rsidRPr="002B3ACE" w:rsidRDefault="00465C8F" w:rsidP="00DB39F5">
            <w:pPr>
              <w:rPr>
                <w:b/>
                <w:bCs/>
                <w:sz w:val="18"/>
                <w:szCs w:val="18"/>
                <w:highlight w:val="white"/>
              </w:rPr>
            </w:pPr>
            <w:r w:rsidRPr="002B3ACE">
              <w:rPr>
                <w:b/>
                <w:bCs/>
                <w:sz w:val="18"/>
                <w:szCs w:val="18"/>
                <w:highlight w:val="white"/>
              </w:rPr>
              <w:t>Sensitivity, %</w:t>
            </w:r>
          </w:p>
        </w:tc>
        <w:tc>
          <w:tcPr>
            <w:tcW w:w="1870" w:type="dxa"/>
          </w:tcPr>
          <w:p w14:paraId="67620578" w14:textId="77777777" w:rsidR="00465C8F" w:rsidRPr="002B3ACE" w:rsidRDefault="00465C8F" w:rsidP="00DB39F5">
            <w:pPr>
              <w:rPr>
                <w:b/>
                <w:bCs/>
                <w:sz w:val="18"/>
                <w:szCs w:val="18"/>
                <w:highlight w:val="white"/>
              </w:rPr>
            </w:pPr>
            <w:r w:rsidRPr="002B3ACE">
              <w:rPr>
                <w:b/>
                <w:bCs/>
                <w:sz w:val="18"/>
                <w:szCs w:val="18"/>
                <w:highlight w:val="white"/>
              </w:rPr>
              <w:t>Specificity, %</w:t>
            </w:r>
          </w:p>
        </w:tc>
      </w:tr>
      <w:tr w:rsidR="00465C8F" w:rsidRPr="002B3ACE" w14:paraId="6CC3E57D" w14:textId="77777777" w:rsidTr="00465C8F">
        <w:tc>
          <w:tcPr>
            <w:tcW w:w="1870" w:type="dxa"/>
          </w:tcPr>
          <w:p w14:paraId="50CEBCE1" w14:textId="77777777" w:rsidR="00465C8F" w:rsidRPr="002B3ACE" w:rsidRDefault="00465C8F" w:rsidP="002B3ACE">
            <w:pPr>
              <w:spacing w:before="0" w:after="0"/>
              <w:rPr>
                <w:sz w:val="18"/>
                <w:szCs w:val="18"/>
                <w:highlight w:val="white"/>
              </w:rPr>
            </w:pPr>
            <w:r w:rsidRPr="002B3ACE">
              <w:rPr>
                <w:sz w:val="18"/>
                <w:szCs w:val="18"/>
                <w:highlight w:val="white"/>
              </w:rPr>
              <w:t>5</w:t>
            </w:r>
          </w:p>
        </w:tc>
        <w:tc>
          <w:tcPr>
            <w:tcW w:w="1870" w:type="dxa"/>
            <w:gridSpan w:val="2"/>
          </w:tcPr>
          <w:p w14:paraId="2630E3A6" w14:textId="77777777" w:rsidR="00465C8F" w:rsidRPr="002B3ACE" w:rsidRDefault="00465C8F" w:rsidP="002B3ACE">
            <w:pPr>
              <w:spacing w:before="0" w:after="0"/>
              <w:rPr>
                <w:sz w:val="18"/>
                <w:szCs w:val="18"/>
                <w:highlight w:val="white"/>
              </w:rPr>
            </w:pPr>
            <w:r w:rsidRPr="002B3ACE">
              <w:rPr>
                <w:sz w:val="18"/>
                <w:szCs w:val="18"/>
                <w:highlight w:val="white"/>
              </w:rPr>
              <w:t>91</w:t>
            </w:r>
          </w:p>
        </w:tc>
        <w:tc>
          <w:tcPr>
            <w:tcW w:w="1870" w:type="dxa"/>
          </w:tcPr>
          <w:p w14:paraId="3C9A1DF6" w14:textId="77777777" w:rsidR="00465C8F" w:rsidRPr="002B3ACE" w:rsidRDefault="00465C8F" w:rsidP="002B3ACE">
            <w:pPr>
              <w:spacing w:before="0" w:after="0"/>
              <w:rPr>
                <w:sz w:val="18"/>
                <w:szCs w:val="18"/>
                <w:highlight w:val="white"/>
              </w:rPr>
            </w:pPr>
            <w:r w:rsidRPr="002B3ACE">
              <w:rPr>
                <w:sz w:val="18"/>
                <w:szCs w:val="18"/>
                <w:highlight w:val="white"/>
              </w:rPr>
              <w:t>34</w:t>
            </w:r>
          </w:p>
        </w:tc>
        <w:tc>
          <w:tcPr>
            <w:tcW w:w="1870" w:type="dxa"/>
          </w:tcPr>
          <w:p w14:paraId="7F7C4B38" w14:textId="77777777" w:rsidR="00465C8F" w:rsidRPr="002B3ACE" w:rsidRDefault="00465C8F" w:rsidP="002B3ACE">
            <w:pPr>
              <w:spacing w:before="0" w:after="0"/>
              <w:rPr>
                <w:sz w:val="18"/>
                <w:szCs w:val="18"/>
                <w:highlight w:val="white"/>
              </w:rPr>
            </w:pPr>
            <w:r w:rsidRPr="002B3ACE">
              <w:rPr>
                <w:sz w:val="18"/>
                <w:szCs w:val="18"/>
                <w:highlight w:val="white"/>
              </w:rPr>
              <w:t>82</w:t>
            </w:r>
          </w:p>
        </w:tc>
        <w:tc>
          <w:tcPr>
            <w:tcW w:w="1870" w:type="dxa"/>
          </w:tcPr>
          <w:p w14:paraId="5E5E8FEA" w14:textId="77777777" w:rsidR="00465C8F" w:rsidRPr="002B3ACE" w:rsidRDefault="00465C8F" w:rsidP="002B3ACE">
            <w:pPr>
              <w:spacing w:before="0" w:after="0"/>
              <w:rPr>
                <w:sz w:val="18"/>
                <w:szCs w:val="18"/>
                <w:highlight w:val="white"/>
              </w:rPr>
            </w:pPr>
            <w:r w:rsidRPr="002B3ACE">
              <w:rPr>
                <w:sz w:val="18"/>
                <w:szCs w:val="18"/>
                <w:highlight w:val="white"/>
              </w:rPr>
              <w:t>56</w:t>
            </w:r>
          </w:p>
        </w:tc>
      </w:tr>
      <w:tr w:rsidR="00465C8F" w:rsidRPr="002B3ACE" w14:paraId="27359232" w14:textId="77777777" w:rsidTr="00465C8F">
        <w:tc>
          <w:tcPr>
            <w:tcW w:w="1870" w:type="dxa"/>
          </w:tcPr>
          <w:p w14:paraId="3247D250" w14:textId="77777777" w:rsidR="00465C8F" w:rsidRPr="002B3ACE" w:rsidRDefault="00465C8F" w:rsidP="002B3ACE">
            <w:pPr>
              <w:spacing w:before="0" w:after="0"/>
              <w:rPr>
                <w:sz w:val="18"/>
                <w:szCs w:val="18"/>
                <w:highlight w:val="white"/>
              </w:rPr>
            </w:pPr>
            <w:r w:rsidRPr="002B3ACE">
              <w:rPr>
                <w:sz w:val="18"/>
                <w:szCs w:val="18"/>
                <w:highlight w:val="white"/>
              </w:rPr>
              <w:t>6</w:t>
            </w:r>
          </w:p>
        </w:tc>
        <w:tc>
          <w:tcPr>
            <w:tcW w:w="1870" w:type="dxa"/>
            <w:gridSpan w:val="2"/>
          </w:tcPr>
          <w:p w14:paraId="085C221B" w14:textId="77777777" w:rsidR="00465C8F" w:rsidRPr="002B3ACE" w:rsidRDefault="00465C8F" w:rsidP="002B3ACE">
            <w:pPr>
              <w:spacing w:before="0" w:after="0"/>
              <w:rPr>
                <w:sz w:val="18"/>
                <w:szCs w:val="18"/>
                <w:highlight w:val="white"/>
              </w:rPr>
            </w:pPr>
            <w:r w:rsidRPr="002B3ACE">
              <w:rPr>
                <w:sz w:val="18"/>
                <w:szCs w:val="18"/>
                <w:highlight w:val="white"/>
              </w:rPr>
              <w:t>83</w:t>
            </w:r>
          </w:p>
        </w:tc>
        <w:tc>
          <w:tcPr>
            <w:tcW w:w="1870" w:type="dxa"/>
          </w:tcPr>
          <w:p w14:paraId="51950D85" w14:textId="77777777" w:rsidR="00465C8F" w:rsidRPr="002B3ACE" w:rsidRDefault="00465C8F" w:rsidP="002B3ACE">
            <w:pPr>
              <w:spacing w:before="0" w:after="0"/>
              <w:rPr>
                <w:sz w:val="18"/>
                <w:szCs w:val="18"/>
                <w:highlight w:val="white"/>
              </w:rPr>
            </w:pPr>
            <w:r w:rsidRPr="002B3ACE">
              <w:rPr>
                <w:sz w:val="18"/>
                <w:szCs w:val="18"/>
                <w:highlight w:val="white"/>
              </w:rPr>
              <w:t>49</w:t>
            </w:r>
          </w:p>
        </w:tc>
        <w:tc>
          <w:tcPr>
            <w:tcW w:w="1870" w:type="dxa"/>
          </w:tcPr>
          <w:p w14:paraId="5E348B7E" w14:textId="77777777" w:rsidR="00465C8F" w:rsidRPr="002B3ACE" w:rsidRDefault="00465C8F" w:rsidP="002B3ACE">
            <w:pPr>
              <w:spacing w:before="0" w:after="0"/>
              <w:rPr>
                <w:sz w:val="18"/>
                <w:szCs w:val="18"/>
                <w:highlight w:val="white"/>
              </w:rPr>
            </w:pPr>
            <w:r w:rsidRPr="002B3ACE">
              <w:rPr>
                <w:sz w:val="18"/>
                <w:szCs w:val="18"/>
                <w:highlight w:val="white"/>
              </w:rPr>
              <w:t>71</w:t>
            </w:r>
          </w:p>
        </w:tc>
        <w:tc>
          <w:tcPr>
            <w:tcW w:w="1870" w:type="dxa"/>
          </w:tcPr>
          <w:p w14:paraId="20D85B5C" w14:textId="77777777" w:rsidR="00465C8F" w:rsidRPr="002B3ACE" w:rsidRDefault="00465C8F" w:rsidP="002B3ACE">
            <w:pPr>
              <w:spacing w:before="0" w:after="0"/>
              <w:rPr>
                <w:sz w:val="18"/>
                <w:szCs w:val="18"/>
                <w:highlight w:val="white"/>
              </w:rPr>
            </w:pPr>
            <w:r w:rsidRPr="002B3ACE">
              <w:rPr>
                <w:sz w:val="18"/>
                <w:szCs w:val="18"/>
                <w:highlight w:val="white"/>
              </w:rPr>
              <w:t>72</w:t>
            </w:r>
          </w:p>
        </w:tc>
      </w:tr>
      <w:tr w:rsidR="00465C8F" w:rsidRPr="002B3ACE" w14:paraId="5B059EAE" w14:textId="77777777" w:rsidTr="00465C8F">
        <w:tc>
          <w:tcPr>
            <w:tcW w:w="1870" w:type="dxa"/>
          </w:tcPr>
          <w:p w14:paraId="4D363D5D" w14:textId="77777777" w:rsidR="00465C8F" w:rsidRPr="002B3ACE" w:rsidRDefault="00465C8F" w:rsidP="002B3ACE">
            <w:pPr>
              <w:spacing w:before="0" w:after="0"/>
              <w:rPr>
                <w:sz w:val="18"/>
                <w:szCs w:val="18"/>
                <w:highlight w:val="white"/>
              </w:rPr>
            </w:pPr>
            <w:r w:rsidRPr="002B3ACE">
              <w:rPr>
                <w:sz w:val="18"/>
                <w:szCs w:val="18"/>
                <w:highlight w:val="white"/>
              </w:rPr>
              <w:t>7</w:t>
            </w:r>
          </w:p>
        </w:tc>
        <w:tc>
          <w:tcPr>
            <w:tcW w:w="1870" w:type="dxa"/>
            <w:gridSpan w:val="2"/>
          </w:tcPr>
          <w:p w14:paraId="34DCF147" w14:textId="77777777" w:rsidR="00465C8F" w:rsidRPr="002B3ACE" w:rsidRDefault="00465C8F" w:rsidP="002B3ACE">
            <w:pPr>
              <w:spacing w:before="0" w:after="0"/>
              <w:rPr>
                <w:sz w:val="18"/>
                <w:szCs w:val="18"/>
                <w:highlight w:val="white"/>
              </w:rPr>
            </w:pPr>
            <w:r w:rsidRPr="002B3ACE">
              <w:rPr>
                <w:sz w:val="18"/>
                <w:szCs w:val="18"/>
                <w:highlight w:val="white"/>
              </w:rPr>
              <w:t>83</w:t>
            </w:r>
          </w:p>
        </w:tc>
        <w:tc>
          <w:tcPr>
            <w:tcW w:w="1870" w:type="dxa"/>
          </w:tcPr>
          <w:p w14:paraId="1B20F821" w14:textId="77777777" w:rsidR="00465C8F" w:rsidRPr="002B3ACE" w:rsidRDefault="00465C8F" w:rsidP="002B3ACE">
            <w:pPr>
              <w:spacing w:before="0" w:after="0"/>
              <w:rPr>
                <w:sz w:val="18"/>
                <w:szCs w:val="18"/>
                <w:highlight w:val="white"/>
              </w:rPr>
            </w:pPr>
            <w:r w:rsidRPr="002B3ACE">
              <w:rPr>
                <w:sz w:val="18"/>
                <w:szCs w:val="18"/>
                <w:highlight w:val="white"/>
              </w:rPr>
              <w:t>63</w:t>
            </w:r>
          </w:p>
        </w:tc>
        <w:tc>
          <w:tcPr>
            <w:tcW w:w="1870" w:type="dxa"/>
          </w:tcPr>
          <w:p w14:paraId="5ADBBA77" w14:textId="77777777" w:rsidR="00465C8F" w:rsidRPr="002B3ACE" w:rsidRDefault="00465C8F" w:rsidP="002B3ACE">
            <w:pPr>
              <w:spacing w:before="0" w:after="0"/>
              <w:rPr>
                <w:sz w:val="18"/>
                <w:szCs w:val="18"/>
                <w:highlight w:val="white"/>
              </w:rPr>
            </w:pPr>
            <w:r w:rsidRPr="002B3ACE">
              <w:rPr>
                <w:sz w:val="18"/>
                <w:szCs w:val="18"/>
                <w:highlight w:val="white"/>
              </w:rPr>
              <w:t>63</w:t>
            </w:r>
          </w:p>
        </w:tc>
        <w:tc>
          <w:tcPr>
            <w:tcW w:w="1870" w:type="dxa"/>
          </w:tcPr>
          <w:p w14:paraId="3A8D5513" w14:textId="77777777" w:rsidR="00465C8F" w:rsidRPr="002B3ACE" w:rsidRDefault="00465C8F" w:rsidP="002B3ACE">
            <w:pPr>
              <w:spacing w:before="0" w:after="0"/>
              <w:rPr>
                <w:sz w:val="18"/>
                <w:szCs w:val="18"/>
                <w:highlight w:val="white"/>
              </w:rPr>
            </w:pPr>
            <w:r w:rsidRPr="002B3ACE">
              <w:rPr>
                <w:sz w:val="18"/>
                <w:szCs w:val="18"/>
                <w:highlight w:val="white"/>
              </w:rPr>
              <w:t>88</w:t>
            </w:r>
          </w:p>
        </w:tc>
      </w:tr>
      <w:tr w:rsidR="00465C8F" w:rsidRPr="002B3ACE" w14:paraId="5B09B59F" w14:textId="77777777" w:rsidTr="00465C8F">
        <w:tc>
          <w:tcPr>
            <w:tcW w:w="1870" w:type="dxa"/>
          </w:tcPr>
          <w:p w14:paraId="01A55ED1" w14:textId="77777777" w:rsidR="00465C8F" w:rsidRPr="002B3ACE" w:rsidRDefault="00465C8F" w:rsidP="002B3ACE">
            <w:pPr>
              <w:spacing w:before="0" w:after="0"/>
              <w:rPr>
                <w:sz w:val="18"/>
                <w:szCs w:val="18"/>
                <w:highlight w:val="white"/>
              </w:rPr>
            </w:pPr>
            <w:r w:rsidRPr="002B3ACE">
              <w:rPr>
                <w:sz w:val="18"/>
                <w:szCs w:val="18"/>
                <w:highlight w:val="white"/>
              </w:rPr>
              <w:t>8</w:t>
            </w:r>
          </w:p>
        </w:tc>
        <w:tc>
          <w:tcPr>
            <w:tcW w:w="1870" w:type="dxa"/>
            <w:gridSpan w:val="2"/>
          </w:tcPr>
          <w:p w14:paraId="40333717" w14:textId="77777777" w:rsidR="00465C8F" w:rsidRPr="002B3ACE" w:rsidRDefault="00465C8F" w:rsidP="002B3ACE">
            <w:pPr>
              <w:spacing w:before="0" w:after="0"/>
              <w:rPr>
                <w:sz w:val="18"/>
                <w:szCs w:val="18"/>
                <w:highlight w:val="white"/>
              </w:rPr>
            </w:pPr>
            <w:r w:rsidRPr="002B3ACE">
              <w:rPr>
                <w:sz w:val="18"/>
                <w:szCs w:val="18"/>
                <w:highlight w:val="white"/>
              </w:rPr>
              <w:t>78</w:t>
            </w:r>
          </w:p>
        </w:tc>
        <w:tc>
          <w:tcPr>
            <w:tcW w:w="1870" w:type="dxa"/>
          </w:tcPr>
          <w:p w14:paraId="07D54BEB" w14:textId="77777777" w:rsidR="00465C8F" w:rsidRPr="002B3ACE" w:rsidRDefault="00465C8F" w:rsidP="002B3ACE">
            <w:pPr>
              <w:spacing w:before="0" w:after="0"/>
              <w:rPr>
                <w:sz w:val="18"/>
                <w:szCs w:val="18"/>
                <w:highlight w:val="white"/>
              </w:rPr>
            </w:pPr>
            <w:r w:rsidRPr="002B3ACE">
              <w:rPr>
                <w:sz w:val="18"/>
                <w:szCs w:val="18"/>
                <w:highlight w:val="white"/>
              </w:rPr>
              <w:t>71</w:t>
            </w:r>
          </w:p>
        </w:tc>
        <w:tc>
          <w:tcPr>
            <w:tcW w:w="1870" w:type="dxa"/>
          </w:tcPr>
          <w:p w14:paraId="1CCE3E28" w14:textId="77777777" w:rsidR="00465C8F" w:rsidRPr="002B3ACE" w:rsidRDefault="00465C8F" w:rsidP="002B3ACE">
            <w:pPr>
              <w:spacing w:before="0" w:after="0"/>
              <w:rPr>
                <w:sz w:val="18"/>
                <w:szCs w:val="18"/>
                <w:highlight w:val="white"/>
              </w:rPr>
            </w:pPr>
            <w:r w:rsidRPr="002B3ACE">
              <w:rPr>
                <w:sz w:val="18"/>
                <w:szCs w:val="18"/>
                <w:highlight w:val="white"/>
              </w:rPr>
              <w:t>53</w:t>
            </w:r>
          </w:p>
        </w:tc>
        <w:tc>
          <w:tcPr>
            <w:tcW w:w="1870" w:type="dxa"/>
          </w:tcPr>
          <w:p w14:paraId="2F333875" w14:textId="77777777" w:rsidR="00465C8F" w:rsidRPr="002B3ACE" w:rsidRDefault="00465C8F" w:rsidP="002B3ACE">
            <w:pPr>
              <w:spacing w:before="0" w:after="0"/>
              <w:rPr>
                <w:sz w:val="18"/>
                <w:szCs w:val="18"/>
                <w:highlight w:val="white"/>
              </w:rPr>
            </w:pPr>
            <w:r w:rsidRPr="002B3ACE">
              <w:rPr>
                <w:sz w:val="18"/>
                <w:szCs w:val="18"/>
                <w:highlight w:val="white"/>
              </w:rPr>
              <w:t>92</w:t>
            </w:r>
          </w:p>
        </w:tc>
      </w:tr>
      <w:tr w:rsidR="00465C8F" w:rsidRPr="002B3ACE" w14:paraId="1CCA7130" w14:textId="77777777" w:rsidTr="00465C8F">
        <w:tc>
          <w:tcPr>
            <w:tcW w:w="1870" w:type="dxa"/>
          </w:tcPr>
          <w:p w14:paraId="1E897BCA" w14:textId="77777777" w:rsidR="00465C8F" w:rsidRPr="002B3ACE" w:rsidRDefault="00465C8F" w:rsidP="002B3ACE">
            <w:pPr>
              <w:spacing w:before="0" w:after="0"/>
              <w:rPr>
                <w:sz w:val="18"/>
                <w:szCs w:val="18"/>
                <w:highlight w:val="white"/>
              </w:rPr>
            </w:pPr>
            <w:r w:rsidRPr="002B3ACE">
              <w:rPr>
                <w:sz w:val="18"/>
                <w:szCs w:val="18"/>
                <w:highlight w:val="white"/>
              </w:rPr>
              <w:t>9</w:t>
            </w:r>
          </w:p>
        </w:tc>
        <w:tc>
          <w:tcPr>
            <w:tcW w:w="1870" w:type="dxa"/>
            <w:gridSpan w:val="2"/>
          </w:tcPr>
          <w:p w14:paraId="1B5EC4DC" w14:textId="77777777" w:rsidR="00465C8F" w:rsidRPr="002B3ACE" w:rsidRDefault="00465C8F" w:rsidP="002B3ACE">
            <w:pPr>
              <w:spacing w:before="0" w:after="0"/>
              <w:rPr>
                <w:sz w:val="18"/>
                <w:szCs w:val="18"/>
                <w:highlight w:val="white"/>
              </w:rPr>
            </w:pPr>
            <w:r w:rsidRPr="002B3ACE">
              <w:rPr>
                <w:sz w:val="18"/>
                <w:szCs w:val="18"/>
                <w:highlight w:val="white"/>
              </w:rPr>
              <w:t>65</w:t>
            </w:r>
          </w:p>
        </w:tc>
        <w:tc>
          <w:tcPr>
            <w:tcW w:w="1870" w:type="dxa"/>
          </w:tcPr>
          <w:p w14:paraId="1DB2E28C" w14:textId="77777777" w:rsidR="00465C8F" w:rsidRPr="002B3ACE" w:rsidRDefault="00465C8F" w:rsidP="002B3ACE">
            <w:pPr>
              <w:spacing w:before="0" w:after="0"/>
              <w:rPr>
                <w:sz w:val="18"/>
                <w:szCs w:val="18"/>
                <w:highlight w:val="white"/>
              </w:rPr>
            </w:pPr>
            <w:r w:rsidRPr="002B3ACE">
              <w:rPr>
                <w:sz w:val="18"/>
                <w:szCs w:val="18"/>
                <w:highlight w:val="white"/>
              </w:rPr>
              <w:t>81</w:t>
            </w:r>
          </w:p>
        </w:tc>
        <w:tc>
          <w:tcPr>
            <w:tcW w:w="1870" w:type="dxa"/>
          </w:tcPr>
          <w:p w14:paraId="72A9D84B" w14:textId="77777777" w:rsidR="00465C8F" w:rsidRPr="002B3ACE" w:rsidRDefault="00465C8F" w:rsidP="002B3ACE">
            <w:pPr>
              <w:spacing w:before="0" w:after="0"/>
              <w:rPr>
                <w:sz w:val="18"/>
                <w:szCs w:val="18"/>
                <w:highlight w:val="white"/>
              </w:rPr>
            </w:pPr>
            <w:r w:rsidRPr="002B3ACE">
              <w:rPr>
                <w:sz w:val="18"/>
                <w:szCs w:val="18"/>
                <w:highlight w:val="white"/>
              </w:rPr>
              <w:t>41</w:t>
            </w:r>
          </w:p>
        </w:tc>
        <w:tc>
          <w:tcPr>
            <w:tcW w:w="1870" w:type="dxa"/>
          </w:tcPr>
          <w:p w14:paraId="78DBA15D" w14:textId="77777777" w:rsidR="00465C8F" w:rsidRPr="002B3ACE" w:rsidRDefault="00465C8F" w:rsidP="002B3ACE">
            <w:pPr>
              <w:spacing w:before="0" w:after="0"/>
              <w:rPr>
                <w:sz w:val="18"/>
                <w:szCs w:val="18"/>
                <w:highlight w:val="white"/>
              </w:rPr>
            </w:pPr>
            <w:r w:rsidRPr="002B3ACE">
              <w:rPr>
                <w:sz w:val="18"/>
                <w:szCs w:val="18"/>
                <w:highlight w:val="white"/>
              </w:rPr>
              <w:t>100</w:t>
            </w:r>
          </w:p>
        </w:tc>
      </w:tr>
      <w:tr w:rsidR="00465C8F" w:rsidRPr="002B3ACE" w14:paraId="64868882" w14:textId="77777777" w:rsidTr="00465C8F">
        <w:tc>
          <w:tcPr>
            <w:tcW w:w="1870" w:type="dxa"/>
          </w:tcPr>
          <w:p w14:paraId="1D64F06B" w14:textId="77777777" w:rsidR="00465C8F" w:rsidRPr="002B3ACE" w:rsidRDefault="00465C8F" w:rsidP="002B3ACE">
            <w:pPr>
              <w:spacing w:before="0" w:after="0"/>
              <w:rPr>
                <w:sz w:val="18"/>
                <w:szCs w:val="18"/>
                <w:highlight w:val="white"/>
              </w:rPr>
            </w:pPr>
            <w:r w:rsidRPr="002B3ACE">
              <w:rPr>
                <w:sz w:val="18"/>
                <w:szCs w:val="18"/>
                <w:highlight w:val="white"/>
              </w:rPr>
              <w:t>10</w:t>
            </w:r>
          </w:p>
        </w:tc>
        <w:tc>
          <w:tcPr>
            <w:tcW w:w="1870" w:type="dxa"/>
            <w:gridSpan w:val="2"/>
          </w:tcPr>
          <w:p w14:paraId="4467F244" w14:textId="77777777" w:rsidR="00465C8F" w:rsidRPr="002B3ACE" w:rsidRDefault="00465C8F" w:rsidP="002B3ACE">
            <w:pPr>
              <w:spacing w:before="0" w:after="0"/>
              <w:rPr>
                <w:sz w:val="18"/>
                <w:szCs w:val="18"/>
                <w:highlight w:val="white"/>
              </w:rPr>
            </w:pPr>
            <w:r w:rsidRPr="002B3ACE">
              <w:rPr>
                <w:sz w:val="18"/>
                <w:szCs w:val="18"/>
                <w:highlight w:val="white"/>
              </w:rPr>
              <w:t>57</w:t>
            </w:r>
          </w:p>
        </w:tc>
        <w:tc>
          <w:tcPr>
            <w:tcW w:w="1870" w:type="dxa"/>
          </w:tcPr>
          <w:p w14:paraId="62C5F9C9" w14:textId="77777777" w:rsidR="00465C8F" w:rsidRPr="002B3ACE" w:rsidRDefault="00465C8F" w:rsidP="002B3ACE">
            <w:pPr>
              <w:spacing w:before="0" w:after="0"/>
              <w:rPr>
                <w:sz w:val="18"/>
                <w:szCs w:val="18"/>
                <w:highlight w:val="white"/>
              </w:rPr>
            </w:pPr>
            <w:r w:rsidRPr="002B3ACE">
              <w:rPr>
                <w:sz w:val="18"/>
                <w:szCs w:val="18"/>
                <w:highlight w:val="white"/>
              </w:rPr>
              <w:t>87</w:t>
            </w:r>
          </w:p>
        </w:tc>
        <w:tc>
          <w:tcPr>
            <w:tcW w:w="1870" w:type="dxa"/>
          </w:tcPr>
          <w:p w14:paraId="600C811D" w14:textId="77777777" w:rsidR="00465C8F" w:rsidRPr="002B3ACE" w:rsidRDefault="00465C8F" w:rsidP="002B3ACE">
            <w:pPr>
              <w:spacing w:before="0" w:after="0"/>
              <w:rPr>
                <w:sz w:val="18"/>
                <w:szCs w:val="18"/>
                <w:highlight w:val="white"/>
              </w:rPr>
            </w:pPr>
          </w:p>
        </w:tc>
        <w:tc>
          <w:tcPr>
            <w:tcW w:w="1870" w:type="dxa"/>
          </w:tcPr>
          <w:p w14:paraId="5AC2215B" w14:textId="77777777" w:rsidR="00465C8F" w:rsidRPr="002B3ACE" w:rsidRDefault="00465C8F" w:rsidP="002B3ACE">
            <w:pPr>
              <w:spacing w:before="0" w:after="0"/>
              <w:rPr>
                <w:sz w:val="18"/>
                <w:szCs w:val="18"/>
                <w:highlight w:val="white"/>
              </w:rPr>
            </w:pPr>
          </w:p>
        </w:tc>
      </w:tr>
      <w:tr w:rsidR="00465C8F" w:rsidRPr="002B3ACE" w14:paraId="0B9297B8" w14:textId="77777777" w:rsidTr="00465C8F">
        <w:tc>
          <w:tcPr>
            <w:tcW w:w="1870" w:type="dxa"/>
          </w:tcPr>
          <w:p w14:paraId="182FC503" w14:textId="77777777" w:rsidR="00465C8F" w:rsidRPr="002B3ACE" w:rsidRDefault="00465C8F" w:rsidP="002B3ACE">
            <w:pPr>
              <w:spacing w:before="0" w:after="0"/>
              <w:rPr>
                <w:sz w:val="18"/>
                <w:szCs w:val="18"/>
                <w:highlight w:val="white"/>
              </w:rPr>
            </w:pPr>
            <w:r w:rsidRPr="002B3ACE">
              <w:rPr>
                <w:sz w:val="18"/>
                <w:szCs w:val="18"/>
                <w:highlight w:val="white"/>
              </w:rPr>
              <w:t>11</w:t>
            </w:r>
          </w:p>
        </w:tc>
        <w:tc>
          <w:tcPr>
            <w:tcW w:w="1870" w:type="dxa"/>
            <w:gridSpan w:val="2"/>
          </w:tcPr>
          <w:p w14:paraId="7BA5B923" w14:textId="77777777" w:rsidR="00465C8F" w:rsidRPr="002B3ACE" w:rsidRDefault="00465C8F" w:rsidP="002B3ACE">
            <w:pPr>
              <w:spacing w:before="0" w:after="0"/>
              <w:rPr>
                <w:sz w:val="18"/>
                <w:szCs w:val="18"/>
                <w:highlight w:val="white"/>
              </w:rPr>
            </w:pPr>
            <w:r w:rsidRPr="002B3ACE">
              <w:rPr>
                <w:sz w:val="18"/>
                <w:szCs w:val="18"/>
                <w:highlight w:val="white"/>
              </w:rPr>
              <w:t>39</w:t>
            </w:r>
          </w:p>
        </w:tc>
        <w:tc>
          <w:tcPr>
            <w:tcW w:w="1870" w:type="dxa"/>
          </w:tcPr>
          <w:p w14:paraId="1FBC64A2" w14:textId="77777777" w:rsidR="00465C8F" w:rsidRPr="002B3ACE" w:rsidRDefault="00465C8F" w:rsidP="002B3ACE">
            <w:pPr>
              <w:spacing w:before="0" w:after="0"/>
              <w:rPr>
                <w:sz w:val="18"/>
                <w:szCs w:val="18"/>
                <w:highlight w:val="white"/>
              </w:rPr>
            </w:pPr>
            <w:r w:rsidRPr="002B3ACE">
              <w:rPr>
                <w:sz w:val="18"/>
                <w:szCs w:val="18"/>
                <w:highlight w:val="white"/>
              </w:rPr>
              <w:t>89</w:t>
            </w:r>
          </w:p>
        </w:tc>
        <w:tc>
          <w:tcPr>
            <w:tcW w:w="1870" w:type="dxa"/>
          </w:tcPr>
          <w:p w14:paraId="196D6A81" w14:textId="77777777" w:rsidR="00465C8F" w:rsidRPr="002B3ACE" w:rsidRDefault="00465C8F" w:rsidP="002B3ACE">
            <w:pPr>
              <w:spacing w:before="0" w:after="0"/>
              <w:rPr>
                <w:sz w:val="18"/>
                <w:szCs w:val="18"/>
                <w:highlight w:val="white"/>
              </w:rPr>
            </w:pPr>
          </w:p>
        </w:tc>
        <w:tc>
          <w:tcPr>
            <w:tcW w:w="1870" w:type="dxa"/>
          </w:tcPr>
          <w:p w14:paraId="159B8D90" w14:textId="77777777" w:rsidR="00465C8F" w:rsidRPr="002B3ACE" w:rsidRDefault="00465C8F" w:rsidP="002B3ACE">
            <w:pPr>
              <w:spacing w:before="0" w:after="0"/>
              <w:rPr>
                <w:sz w:val="18"/>
                <w:szCs w:val="18"/>
                <w:highlight w:val="white"/>
              </w:rPr>
            </w:pPr>
          </w:p>
        </w:tc>
      </w:tr>
      <w:tr w:rsidR="00465C8F" w:rsidRPr="002B3ACE" w14:paraId="32123F05" w14:textId="77777777" w:rsidTr="00465C8F">
        <w:tc>
          <w:tcPr>
            <w:tcW w:w="1870" w:type="dxa"/>
          </w:tcPr>
          <w:p w14:paraId="11D32F7C" w14:textId="77777777" w:rsidR="00465C8F" w:rsidRPr="002B3ACE" w:rsidRDefault="00465C8F" w:rsidP="002B3ACE">
            <w:pPr>
              <w:spacing w:before="0" w:after="0"/>
              <w:rPr>
                <w:sz w:val="18"/>
                <w:szCs w:val="18"/>
                <w:highlight w:val="white"/>
              </w:rPr>
            </w:pPr>
            <w:r w:rsidRPr="002B3ACE">
              <w:rPr>
                <w:sz w:val="18"/>
                <w:szCs w:val="18"/>
                <w:highlight w:val="white"/>
              </w:rPr>
              <w:t>12</w:t>
            </w:r>
          </w:p>
        </w:tc>
        <w:tc>
          <w:tcPr>
            <w:tcW w:w="1870" w:type="dxa"/>
            <w:gridSpan w:val="2"/>
          </w:tcPr>
          <w:p w14:paraId="6DD16004" w14:textId="77777777" w:rsidR="00465C8F" w:rsidRPr="002B3ACE" w:rsidRDefault="00465C8F" w:rsidP="002B3ACE">
            <w:pPr>
              <w:spacing w:before="0" w:after="0"/>
              <w:rPr>
                <w:sz w:val="18"/>
                <w:szCs w:val="18"/>
                <w:highlight w:val="white"/>
              </w:rPr>
            </w:pPr>
            <w:r w:rsidRPr="002B3ACE">
              <w:rPr>
                <w:sz w:val="18"/>
                <w:szCs w:val="18"/>
                <w:highlight w:val="white"/>
              </w:rPr>
              <w:t>26</w:t>
            </w:r>
          </w:p>
        </w:tc>
        <w:tc>
          <w:tcPr>
            <w:tcW w:w="1870" w:type="dxa"/>
          </w:tcPr>
          <w:p w14:paraId="145D6D98" w14:textId="77777777" w:rsidR="00465C8F" w:rsidRPr="002B3ACE" w:rsidRDefault="00465C8F" w:rsidP="002B3ACE">
            <w:pPr>
              <w:spacing w:before="0" w:after="0"/>
              <w:rPr>
                <w:sz w:val="18"/>
                <w:szCs w:val="18"/>
                <w:highlight w:val="white"/>
              </w:rPr>
            </w:pPr>
            <w:r w:rsidRPr="002B3ACE">
              <w:rPr>
                <w:sz w:val="18"/>
                <w:szCs w:val="18"/>
                <w:highlight w:val="white"/>
              </w:rPr>
              <w:t>90</w:t>
            </w:r>
          </w:p>
        </w:tc>
        <w:tc>
          <w:tcPr>
            <w:tcW w:w="1870" w:type="dxa"/>
          </w:tcPr>
          <w:p w14:paraId="5F4228AC" w14:textId="77777777" w:rsidR="00465C8F" w:rsidRPr="002B3ACE" w:rsidRDefault="00465C8F" w:rsidP="002B3ACE">
            <w:pPr>
              <w:spacing w:before="0" w:after="0"/>
              <w:rPr>
                <w:sz w:val="18"/>
                <w:szCs w:val="18"/>
                <w:highlight w:val="white"/>
              </w:rPr>
            </w:pPr>
          </w:p>
        </w:tc>
        <w:tc>
          <w:tcPr>
            <w:tcW w:w="1870" w:type="dxa"/>
          </w:tcPr>
          <w:p w14:paraId="081F4121" w14:textId="77777777" w:rsidR="00465C8F" w:rsidRPr="002B3ACE" w:rsidRDefault="00465C8F" w:rsidP="002B3ACE">
            <w:pPr>
              <w:spacing w:before="0" w:after="0"/>
              <w:rPr>
                <w:sz w:val="18"/>
                <w:szCs w:val="18"/>
                <w:highlight w:val="white"/>
              </w:rPr>
            </w:pPr>
          </w:p>
        </w:tc>
      </w:tr>
      <w:tr w:rsidR="00465C8F" w:rsidRPr="002B3ACE" w14:paraId="0BC9F809" w14:textId="77777777" w:rsidTr="002B3ACE">
        <w:trPr>
          <w:trHeight w:val="68"/>
        </w:trPr>
        <w:tc>
          <w:tcPr>
            <w:tcW w:w="1870" w:type="dxa"/>
          </w:tcPr>
          <w:p w14:paraId="010866DB" w14:textId="77777777" w:rsidR="00465C8F" w:rsidRPr="002B3ACE" w:rsidRDefault="00465C8F" w:rsidP="002B3ACE">
            <w:pPr>
              <w:spacing w:before="0" w:after="0"/>
              <w:rPr>
                <w:sz w:val="18"/>
                <w:szCs w:val="18"/>
                <w:highlight w:val="white"/>
              </w:rPr>
            </w:pPr>
            <w:r w:rsidRPr="002B3ACE">
              <w:rPr>
                <w:sz w:val="18"/>
                <w:szCs w:val="18"/>
                <w:highlight w:val="white"/>
              </w:rPr>
              <w:t>13</w:t>
            </w:r>
          </w:p>
        </w:tc>
        <w:tc>
          <w:tcPr>
            <w:tcW w:w="1870" w:type="dxa"/>
            <w:gridSpan w:val="2"/>
          </w:tcPr>
          <w:p w14:paraId="3A5E9056" w14:textId="77777777" w:rsidR="00465C8F" w:rsidRPr="002B3ACE" w:rsidRDefault="00465C8F" w:rsidP="002B3ACE">
            <w:pPr>
              <w:spacing w:before="0" w:after="0"/>
              <w:rPr>
                <w:sz w:val="18"/>
                <w:szCs w:val="18"/>
                <w:highlight w:val="white"/>
              </w:rPr>
            </w:pPr>
            <w:r w:rsidRPr="002B3ACE">
              <w:rPr>
                <w:sz w:val="18"/>
                <w:szCs w:val="18"/>
                <w:highlight w:val="white"/>
              </w:rPr>
              <w:t>17</w:t>
            </w:r>
          </w:p>
        </w:tc>
        <w:tc>
          <w:tcPr>
            <w:tcW w:w="1870" w:type="dxa"/>
          </w:tcPr>
          <w:p w14:paraId="58D41699" w14:textId="77777777" w:rsidR="00465C8F" w:rsidRPr="002B3ACE" w:rsidRDefault="00465C8F" w:rsidP="002B3ACE">
            <w:pPr>
              <w:spacing w:before="0" w:after="0"/>
              <w:rPr>
                <w:sz w:val="18"/>
                <w:szCs w:val="18"/>
                <w:highlight w:val="white"/>
              </w:rPr>
            </w:pPr>
            <w:r w:rsidRPr="002B3ACE">
              <w:rPr>
                <w:sz w:val="18"/>
                <w:szCs w:val="18"/>
                <w:highlight w:val="white"/>
              </w:rPr>
              <w:t>96</w:t>
            </w:r>
          </w:p>
        </w:tc>
        <w:tc>
          <w:tcPr>
            <w:tcW w:w="1870" w:type="dxa"/>
          </w:tcPr>
          <w:p w14:paraId="5B73CB57" w14:textId="77777777" w:rsidR="00465C8F" w:rsidRPr="002B3ACE" w:rsidRDefault="00465C8F" w:rsidP="002B3ACE">
            <w:pPr>
              <w:spacing w:before="0" w:after="0"/>
              <w:rPr>
                <w:sz w:val="18"/>
                <w:szCs w:val="18"/>
                <w:highlight w:val="white"/>
              </w:rPr>
            </w:pPr>
          </w:p>
        </w:tc>
        <w:tc>
          <w:tcPr>
            <w:tcW w:w="1870" w:type="dxa"/>
          </w:tcPr>
          <w:p w14:paraId="044CA7B2" w14:textId="77777777" w:rsidR="00465C8F" w:rsidRPr="002B3ACE" w:rsidRDefault="00465C8F" w:rsidP="002B3ACE">
            <w:pPr>
              <w:spacing w:before="0" w:after="0"/>
              <w:rPr>
                <w:sz w:val="18"/>
                <w:szCs w:val="18"/>
                <w:highlight w:val="white"/>
              </w:rPr>
            </w:pPr>
          </w:p>
        </w:tc>
      </w:tr>
    </w:tbl>
    <w:p w14:paraId="40CE5860" w14:textId="77777777" w:rsidR="00465C8F" w:rsidRPr="002B3ACE" w:rsidRDefault="00465C8F" w:rsidP="00871706">
      <w:pPr>
        <w:pStyle w:val="Heading1"/>
        <w:rPr>
          <w:sz w:val="18"/>
          <w:szCs w:val="18"/>
          <w:highlight w:val="white"/>
        </w:rPr>
        <w:sectPr w:rsidR="00465C8F" w:rsidRPr="002B3ACE" w:rsidSect="00871706">
          <w:pgSz w:w="12240" w:h="15840" w:orient="landscape"/>
          <w:pgMar w:top="1440" w:right="1440" w:bottom="1440" w:left="1440" w:header="720" w:footer="720" w:gutter="0"/>
          <w:cols w:space="720" w:equalWidth="0">
            <w:col w:w="9360"/>
          </w:cols>
          <w:docGrid w:linePitch="299"/>
        </w:sectPr>
      </w:pPr>
    </w:p>
    <w:p w14:paraId="39537B87" w14:textId="2623A71A" w:rsidR="00871706" w:rsidRPr="00F07E96" w:rsidRDefault="00871706" w:rsidP="00871706">
      <w:pPr>
        <w:pStyle w:val="Heading1"/>
        <w:rPr>
          <w:highlight w:val="white"/>
        </w:rPr>
      </w:pPr>
      <w:r w:rsidRPr="00F07E96">
        <w:rPr>
          <w:highlight w:val="white"/>
        </w:rPr>
        <w:lastRenderedPageBreak/>
        <w:t>References</w:t>
      </w:r>
    </w:p>
    <w:p w14:paraId="510BBDF4" w14:textId="0B69B63C" w:rsidR="0026106C" w:rsidRPr="0026106C" w:rsidRDefault="00871706" w:rsidP="0026106C">
      <w:pPr>
        <w:widowControl w:val="0"/>
        <w:autoSpaceDE w:val="0"/>
        <w:autoSpaceDN w:val="0"/>
        <w:adjustRightInd w:val="0"/>
        <w:spacing w:line="240" w:lineRule="auto"/>
        <w:ind w:left="640" w:hanging="640"/>
        <w:rPr>
          <w:noProof/>
        </w:rPr>
      </w:pPr>
      <w:r w:rsidRPr="00F07E96">
        <w:rPr>
          <w:highlight w:val="white"/>
        </w:rPr>
        <w:fldChar w:fldCharType="begin" w:fldLock="1"/>
      </w:r>
      <w:r w:rsidRPr="00F07E96">
        <w:rPr>
          <w:highlight w:val="white"/>
        </w:rPr>
        <w:instrText xml:space="preserve">ADDIN Mendeley Bibliography CSL_BIBLIOGRAPHY </w:instrText>
      </w:r>
      <w:r w:rsidRPr="00F07E96">
        <w:rPr>
          <w:highlight w:val="white"/>
        </w:rPr>
        <w:fldChar w:fldCharType="separate"/>
      </w:r>
      <w:r w:rsidR="0026106C" w:rsidRPr="0026106C">
        <w:rPr>
          <w:noProof/>
        </w:rPr>
        <w:t xml:space="preserve">1. </w:t>
      </w:r>
      <w:r w:rsidR="0026106C" w:rsidRPr="0026106C">
        <w:rPr>
          <w:noProof/>
        </w:rPr>
        <w:tab/>
        <w:t>Greenhalgh T, Wherton J, Shaw S. Video consultations for covid-19. 2020;998(March):1–2. Available from: http://dx.doi.org/doi:10.1136/bmj.m998</w:t>
      </w:r>
    </w:p>
    <w:p w14:paraId="4A830CD0"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2. </w:t>
      </w:r>
      <w:r w:rsidRPr="0026106C">
        <w:rPr>
          <w:noProof/>
        </w:rPr>
        <w:tab/>
        <w:t>Hollander JE, Carr BG. Virtually Perfect? Telemedicine for Covid-19. N Engl J Med [Internet]. 2020 Mar 11;NEJMp2003539. Available from: http://www.nejm.org/doi/10.1056/NEJMp2003539</w:t>
      </w:r>
    </w:p>
    <w:p w14:paraId="208F52DE" w14:textId="7F99127A"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3. </w:t>
      </w:r>
      <w:r w:rsidRPr="0026106C">
        <w:rPr>
          <w:noProof/>
        </w:rPr>
        <w:tab/>
      </w:r>
      <w:r w:rsidR="0020626D">
        <w:rPr>
          <w:noProof/>
        </w:rPr>
        <w:t>American Thoracic Society</w:t>
      </w:r>
      <w:r w:rsidRPr="0026106C">
        <w:rPr>
          <w:noProof/>
        </w:rPr>
        <w:t xml:space="preserve">. Dyspnea: mechanisms, assessment, and management: a consensus statement. Am J Respir Crit Care Med. 1999;159:321–40. </w:t>
      </w:r>
    </w:p>
    <w:p w14:paraId="356AD72E"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4. </w:t>
      </w:r>
      <w:r w:rsidRPr="0026106C">
        <w:rPr>
          <w:noProof/>
        </w:rPr>
        <w:tab/>
        <w:t>Bekhof J, Reimink R, Brand PLP. Systematic review : Insufficient validation of clinical scores for the assessment of acute dyspnoea in wheezing children. Paediatr Respir Rev [Internet]. 2014;15(1):98–112. Available from: http://dx.doi.org/10.1016/j.prrv.2013.08.004</w:t>
      </w:r>
    </w:p>
    <w:p w14:paraId="5ECDD2F4"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5. </w:t>
      </w:r>
      <w:r w:rsidRPr="0026106C">
        <w:rPr>
          <w:noProof/>
        </w:rPr>
        <w:tab/>
        <w:t xml:space="preserve">Eggink H, Brand P, Reimink R, Bekhof J. Clinical Scores for Dyspnoea Severity in Children : A Prospective Validation Study. 2016;1–11. </w:t>
      </w:r>
    </w:p>
    <w:p w14:paraId="1922D347"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6. </w:t>
      </w:r>
      <w:r w:rsidRPr="0026106C">
        <w:rPr>
          <w:noProof/>
        </w:rPr>
        <w:tab/>
        <w:t xml:space="preserve">Chorin E, Padegimas A, Havakuk O, Birati EY, Shacham Y, Milman A, et al. Assessment of Respiratory Distress by the Roth Score. Clin Cardiol. 2016 Nov;39(11):636–9. </w:t>
      </w:r>
    </w:p>
    <w:p w14:paraId="68100F33"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7. </w:t>
      </w:r>
      <w:r w:rsidRPr="0026106C">
        <w:rPr>
          <w:noProof/>
        </w:rPr>
        <w:tab/>
        <w:t xml:space="preserve">Tomlinson S, Behrmann S, Cranford J, Louie M, Hashikawa A. Accuracy of Smartphone-Based Pulse Oximetry Compared with Hospital-Grade Pulse Oximetry in Healthy Children. Telemed J E Health. 2018 Jul;24(7):527–35. </w:t>
      </w:r>
    </w:p>
    <w:p w14:paraId="4B241183"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8. </w:t>
      </w:r>
      <w:r w:rsidRPr="0026106C">
        <w:rPr>
          <w:noProof/>
        </w:rPr>
        <w:tab/>
        <w:t xml:space="preserve">Tayfur I, Afacan MA. Reliability of smartphone measurements of vital parameters: A prospective study using a reference method. Am J Emerg Med. 2019 Aug;37(8):1527–30. </w:t>
      </w:r>
    </w:p>
    <w:p w14:paraId="41C09D57"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9. </w:t>
      </w:r>
      <w:r w:rsidRPr="0026106C">
        <w:rPr>
          <w:noProof/>
        </w:rPr>
        <w:tab/>
        <w:t>Rajeh A Al, Steiner M, Aldabayan Y, Aldhahir A, Pickett E, Quaderi S, et al. Use, utility and methods of telehealth for patients with COPD in England and Wales: A healthcare provider survey. BMJ Open Respir Res [Internet]. 2019;6(1):e000345. Available from: http://bmjopenrespres.bmj.com/</w:t>
      </w:r>
    </w:p>
    <w:p w14:paraId="1560E8C7"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10. </w:t>
      </w:r>
      <w:r w:rsidRPr="0026106C">
        <w:rPr>
          <w:noProof/>
        </w:rPr>
        <w:tab/>
        <w:t xml:space="preserve">Alexander JC, Minhajuddin A, Joshi GP. Comparison of smartphone application-based vital sign monitors without external hardware versus those used in clinical practice: a prospective trial. J Clin Monit Comput. 2017 Aug;31(4):825–31. </w:t>
      </w:r>
    </w:p>
    <w:p w14:paraId="41CEC96C"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11. </w:t>
      </w:r>
      <w:r w:rsidRPr="0026106C">
        <w:rPr>
          <w:noProof/>
        </w:rPr>
        <w:tab/>
        <w:t xml:space="preserve">BMJ. Diagnostic test studies: assessment and critical appraisal. BMJ. 2010. </w:t>
      </w:r>
    </w:p>
    <w:p w14:paraId="351217BD"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12. </w:t>
      </w:r>
      <w:r w:rsidRPr="0026106C">
        <w:rPr>
          <w:noProof/>
        </w:rPr>
        <w:tab/>
        <w:t>Steer J, Norman E, Afolabi G, Gibson GJ, Bourke SC. S168 Evaluation of the MRC dyspnoea scale and a novel extended version in prediction of in-hospital death and early readmission in acute exacerbations of COPD. Thorax [Internet]. 2010 Dec 1;65(Suppl 4):A76–A76. Available from: http://thorax.bmj.com/cgi/doi/10.1136/thx.2010.150953.19</w:t>
      </w:r>
    </w:p>
    <w:p w14:paraId="12258FE5"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13. </w:t>
      </w:r>
      <w:r w:rsidRPr="0026106C">
        <w:rPr>
          <w:noProof/>
        </w:rPr>
        <w:tab/>
        <w:t xml:space="preserve">Stenton C. The MRC breathlessness scale. 2008;226–7. </w:t>
      </w:r>
    </w:p>
    <w:p w14:paraId="460DFCB0"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14. </w:t>
      </w:r>
      <w:r w:rsidRPr="0026106C">
        <w:rPr>
          <w:noProof/>
        </w:rPr>
        <w:tab/>
        <w:t xml:space="preserve">Sens JIJAI, Breitenstein E, Rochat T, Fitting JW. Does the ‘ Oxygen cost diagram ’ reflect changes in six minute walking distance in follow up studies ? 1999;(815). </w:t>
      </w:r>
    </w:p>
    <w:p w14:paraId="21A3C421"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lastRenderedPageBreak/>
        <w:t xml:space="preserve">15. </w:t>
      </w:r>
      <w:r w:rsidRPr="0026106C">
        <w:rPr>
          <w:noProof/>
        </w:rPr>
        <w:tab/>
        <w:t xml:space="preserve">Mahler DA, Weinberg DH, Wells CK, Feinstein AR. The measurement of dyspnea: contents, interobserver agreement, and physiologic correlates of two new clinical indexes. Chest. 1984;85(6):751–8. </w:t>
      </w:r>
    </w:p>
    <w:p w14:paraId="22A7F7D0"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16. </w:t>
      </w:r>
      <w:r w:rsidRPr="0026106C">
        <w:rPr>
          <w:noProof/>
        </w:rPr>
        <w:tab/>
        <w:t xml:space="preserve">Eakin EG, Resnikoff PM, Prewitt LM, Ries AL, Kaplan RM. Validation of a new dyspnea measure: the UCSD Shortness of Breath Questionnaire. Chest. 1998;113(3):619–24. </w:t>
      </w:r>
    </w:p>
    <w:p w14:paraId="20DAA787"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17. </w:t>
      </w:r>
      <w:r w:rsidRPr="0026106C">
        <w:rPr>
          <w:noProof/>
        </w:rPr>
        <w:tab/>
        <w:t xml:space="preserve">Gift AG. Validation of a vertical visual analogue scale as a measure of clinical dyspnea. Rehabil Nurs. 1989;14(6):323–5. </w:t>
      </w:r>
    </w:p>
    <w:p w14:paraId="7F59AC06"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18. </w:t>
      </w:r>
      <w:r w:rsidRPr="0026106C">
        <w:rPr>
          <w:noProof/>
        </w:rPr>
        <w:tab/>
        <w:t xml:space="preserve">Yorke J, Moosavi SH, Shuldham C, Jones PW. Quantification of dyspnoea using descriptors : development and initial testing of the Dyspnoea-12 Study one. 2010;21–6. </w:t>
      </w:r>
    </w:p>
    <w:p w14:paraId="2E29550C"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19. </w:t>
      </w:r>
      <w:r w:rsidRPr="0026106C">
        <w:rPr>
          <w:noProof/>
        </w:rPr>
        <w:tab/>
        <w:t xml:space="preserve">Bausewein C, Farquhar M, Booth S, Gysels M, Higginson IJ. Measurement of breathlessness in advanced disease : A systematic review. 2007;399–410. </w:t>
      </w:r>
    </w:p>
    <w:p w14:paraId="02B0725F" w14:textId="77777777" w:rsidR="0026106C" w:rsidRPr="0026106C" w:rsidRDefault="0026106C" w:rsidP="0026106C">
      <w:pPr>
        <w:widowControl w:val="0"/>
        <w:autoSpaceDE w:val="0"/>
        <w:autoSpaceDN w:val="0"/>
        <w:adjustRightInd w:val="0"/>
        <w:spacing w:line="240" w:lineRule="auto"/>
        <w:ind w:left="640" w:hanging="640"/>
        <w:rPr>
          <w:noProof/>
        </w:rPr>
      </w:pPr>
      <w:r w:rsidRPr="0026106C">
        <w:rPr>
          <w:noProof/>
        </w:rPr>
        <w:t xml:space="preserve">20. </w:t>
      </w:r>
      <w:r w:rsidRPr="0026106C">
        <w:rPr>
          <w:noProof/>
        </w:rPr>
        <w:tab/>
        <w:t>Viniol A, Beidatsch D, Frese T, Bergmann M, Grevenrath P, Schmidt L, et al. Studies of the symptom dyspnoea : A systematic review. BMC Fam Pract [Internet]. 2015; Available from: http://dx.doi.org/10.1186/s12875-015-0373-z</w:t>
      </w:r>
    </w:p>
    <w:p w14:paraId="417380F4" w14:textId="46206527" w:rsidR="00871706" w:rsidRPr="00F07E96" w:rsidRDefault="00871706" w:rsidP="0026106C">
      <w:pPr>
        <w:widowControl w:val="0"/>
        <w:autoSpaceDE w:val="0"/>
        <w:autoSpaceDN w:val="0"/>
        <w:adjustRightInd w:val="0"/>
        <w:spacing w:line="240" w:lineRule="auto"/>
        <w:ind w:left="640" w:hanging="640"/>
        <w:rPr>
          <w:highlight w:val="white"/>
        </w:rPr>
      </w:pPr>
      <w:r w:rsidRPr="00F07E96">
        <w:rPr>
          <w:highlight w:val="white"/>
        </w:rPr>
        <w:fldChar w:fldCharType="end"/>
      </w:r>
    </w:p>
    <w:sectPr w:rsidR="00871706" w:rsidRPr="00F07E96" w:rsidSect="00871706">
      <w:pgSz w:w="12240" w:h="15840" w:orient="landscape"/>
      <w:pgMar w:top="1440" w:right="1440" w:bottom="1440" w:left="1440" w:header="720" w:footer="720" w:gutter="0"/>
      <w:cols w:space="720" w:equalWidth="0">
        <w:col w:w="93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CCF2" w14:textId="77777777" w:rsidR="003819AA" w:rsidRDefault="003819AA" w:rsidP="00DD3DE4">
      <w:pPr>
        <w:spacing w:before="0" w:after="0" w:line="240" w:lineRule="auto"/>
      </w:pPr>
      <w:r>
        <w:separator/>
      </w:r>
    </w:p>
  </w:endnote>
  <w:endnote w:type="continuationSeparator" w:id="0">
    <w:p w14:paraId="0A03605B" w14:textId="77777777" w:rsidR="003819AA" w:rsidRDefault="003819AA" w:rsidP="00DD3D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oboto">
    <w:altName w:val="Arial"/>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99065522"/>
      <w:docPartObj>
        <w:docPartGallery w:val="Page Numbers (Bottom of Page)"/>
        <w:docPartUnique/>
      </w:docPartObj>
    </w:sdtPr>
    <w:sdtEndPr>
      <w:rPr>
        <w:rStyle w:val="PageNumber"/>
      </w:rPr>
    </w:sdtEndPr>
    <w:sdtContent>
      <w:p w14:paraId="39B0BF05" w14:textId="3C145C09" w:rsidR="00353C42" w:rsidRDefault="00353C42" w:rsidP="001977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0883B0" w14:textId="77777777" w:rsidR="00353C42" w:rsidRDefault="00353C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3345467"/>
      <w:docPartObj>
        <w:docPartGallery w:val="Page Numbers (Bottom of Page)"/>
        <w:docPartUnique/>
      </w:docPartObj>
    </w:sdtPr>
    <w:sdtEndPr>
      <w:rPr>
        <w:rStyle w:val="PageNumber"/>
      </w:rPr>
    </w:sdtEndPr>
    <w:sdtContent>
      <w:p w14:paraId="476873BC" w14:textId="7DF70EF9" w:rsidR="00353C42" w:rsidRDefault="00353C42" w:rsidP="001977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EBF6D1" w14:textId="77777777" w:rsidR="00353C42" w:rsidRDefault="00353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1EE11" w14:textId="77777777" w:rsidR="003819AA" w:rsidRDefault="003819AA" w:rsidP="00DD3DE4">
      <w:pPr>
        <w:spacing w:before="0" w:after="0" w:line="240" w:lineRule="auto"/>
      </w:pPr>
      <w:r>
        <w:separator/>
      </w:r>
    </w:p>
  </w:footnote>
  <w:footnote w:type="continuationSeparator" w:id="0">
    <w:p w14:paraId="241E13C4" w14:textId="77777777" w:rsidR="003819AA" w:rsidRDefault="003819AA" w:rsidP="00DD3DE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27B"/>
    <w:multiLevelType w:val="multilevel"/>
    <w:tmpl w:val="DD44F42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74D67"/>
    <w:multiLevelType w:val="hybridMultilevel"/>
    <w:tmpl w:val="5D20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B6DDC"/>
    <w:multiLevelType w:val="multilevel"/>
    <w:tmpl w:val="DD44F420"/>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CC20A9"/>
    <w:multiLevelType w:val="hybridMultilevel"/>
    <w:tmpl w:val="555C2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64AB"/>
    <w:multiLevelType w:val="hybridMultilevel"/>
    <w:tmpl w:val="306CFC00"/>
    <w:lvl w:ilvl="0" w:tplc="850C8CC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2B367C"/>
    <w:multiLevelType w:val="hybridMultilevel"/>
    <w:tmpl w:val="FE8E46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C7346A1"/>
    <w:multiLevelType w:val="hybridMultilevel"/>
    <w:tmpl w:val="C5D0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B48F1"/>
    <w:multiLevelType w:val="multilevel"/>
    <w:tmpl w:val="00A87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346B1F"/>
    <w:multiLevelType w:val="hybridMultilevel"/>
    <w:tmpl w:val="A8F65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1F209F"/>
    <w:multiLevelType w:val="multilevel"/>
    <w:tmpl w:val="39388272"/>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A87664"/>
    <w:multiLevelType w:val="hybridMultilevel"/>
    <w:tmpl w:val="6C84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8751351"/>
    <w:multiLevelType w:val="hybridMultilevel"/>
    <w:tmpl w:val="7AD23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3"/>
  </w:num>
  <w:num w:numId="4">
    <w:abstractNumId w:val="8"/>
  </w:num>
  <w:num w:numId="5">
    <w:abstractNumId w:val="11"/>
  </w:num>
  <w:num w:numId="6">
    <w:abstractNumId w:val="10"/>
  </w:num>
  <w:num w:numId="7">
    <w:abstractNumId w:val="4"/>
  </w:num>
  <w:num w:numId="8">
    <w:abstractNumId w:val="7"/>
  </w:num>
  <w:num w:numId="9">
    <w:abstractNumId w:val="5"/>
  </w:num>
  <w:num w:numId="10">
    <w:abstractNumId w:val="0"/>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BA"/>
    <w:rsid w:val="00101314"/>
    <w:rsid w:val="00105560"/>
    <w:rsid w:val="0011181E"/>
    <w:rsid w:val="0013180D"/>
    <w:rsid w:val="00135E9B"/>
    <w:rsid w:val="001375A5"/>
    <w:rsid w:val="00151B69"/>
    <w:rsid w:val="0016191A"/>
    <w:rsid w:val="00183896"/>
    <w:rsid w:val="001A68F0"/>
    <w:rsid w:val="001B6AAB"/>
    <w:rsid w:val="00201995"/>
    <w:rsid w:val="0020626D"/>
    <w:rsid w:val="00210D95"/>
    <w:rsid w:val="00231F9F"/>
    <w:rsid w:val="002336FB"/>
    <w:rsid w:val="0026106C"/>
    <w:rsid w:val="00267C5E"/>
    <w:rsid w:val="002A0129"/>
    <w:rsid w:val="002B3ACE"/>
    <w:rsid w:val="002C519D"/>
    <w:rsid w:val="002D0523"/>
    <w:rsid w:val="002F4526"/>
    <w:rsid w:val="00322756"/>
    <w:rsid w:val="00345959"/>
    <w:rsid w:val="00353C42"/>
    <w:rsid w:val="00373901"/>
    <w:rsid w:val="003819AA"/>
    <w:rsid w:val="003A58BC"/>
    <w:rsid w:val="003A7B77"/>
    <w:rsid w:val="00407CA4"/>
    <w:rsid w:val="00423CF6"/>
    <w:rsid w:val="00435CDE"/>
    <w:rsid w:val="0045061D"/>
    <w:rsid w:val="00465C8F"/>
    <w:rsid w:val="004A6D4E"/>
    <w:rsid w:val="004C0270"/>
    <w:rsid w:val="004F2516"/>
    <w:rsid w:val="00501558"/>
    <w:rsid w:val="00512387"/>
    <w:rsid w:val="005406F5"/>
    <w:rsid w:val="00541D14"/>
    <w:rsid w:val="00554220"/>
    <w:rsid w:val="00567A02"/>
    <w:rsid w:val="00573DA8"/>
    <w:rsid w:val="005C3FDD"/>
    <w:rsid w:val="005C42FF"/>
    <w:rsid w:val="006356EC"/>
    <w:rsid w:val="00645479"/>
    <w:rsid w:val="00646AAA"/>
    <w:rsid w:val="00653E10"/>
    <w:rsid w:val="00655459"/>
    <w:rsid w:val="006F1C13"/>
    <w:rsid w:val="00712937"/>
    <w:rsid w:val="0072051C"/>
    <w:rsid w:val="007311FE"/>
    <w:rsid w:val="00786257"/>
    <w:rsid w:val="007B308C"/>
    <w:rsid w:val="007E2925"/>
    <w:rsid w:val="007F05B7"/>
    <w:rsid w:val="008244E3"/>
    <w:rsid w:val="00871706"/>
    <w:rsid w:val="00871A10"/>
    <w:rsid w:val="00882421"/>
    <w:rsid w:val="008C4508"/>
    <w:rsid w:val="008F5B12"/>
    <w:rsid w:val="009320C4"/>
    <w:rsid w:val="00976925"/>
    <w:rsid w:val="009971A2"/>
    <w:rsid w:val="00997AC1"/>
    <w:rsid w:val="009D6971"/>
    <w:rsid w:val="009F469B"/>
    <w:rsid w:val="009F4AD2"/>
    <w:rsid w:val="00A009AE"/>
    <w:rsid w:val="00A04488"/>
    <w:rsid w:val="00A0657A"/>
    <w:rsid w:val="00A2689E"/>
    <w:rsid w:val="00A36323"/>
    <w:rsid w:val="00A4474A"/>
    <w:rsid w:val="00A4795A"/>
    <w:rsid w:val="00AD3557"/>
    <w:rsid w:val="00AE3BE6"/>
    <w:rsid w:val="00B352D0"/>
    <w:rsid w:val="00B42687"/>
    <w:rsid w:val="00B60834"/>
    <w:rsid w:val="00B93630"/>
    <w:rsid w:val="00C110BA"/>
    <w:rsid w:val="00C3251A"/>
    <w:rsid w:val="00CC5D95"/>
    <w:rsid w:val="00D0108C"/>
    <w:rsid w:val="00D01D49"/>
    <w:rsid w:val="00D12E92"/>
    <w:rsid w:val="00D26E9C"/>
    <w:rsid w:val="00D40C28"/>
    <w:rsid w:val="00D46EED"/>
    <w:rsid w:val="00DD3DE4"/>
    <w:rsid w:val="00E03BCD"/>
    <w:rsid w:val="00E465AA"/>
    <w:rsid w:val="00E553D3"/>
    <w:rsid w:val="00E81E87"/>
    <w:rsid w:val="00EE003C"/>
    <w:rsid w:val="00F07E96"/>
    <w:rsid w:val="00F12F0F"/>
    <w:rsid w:val="00F3130A"/>
    <w:rsid w:val="00F60DCD"/>
    <w:rsid w:val="00FA1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4DE31"/>
  <w15:docId w15:val="{8E081704-B2D0-B94C-9363-D2AC6FE6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6FB"/>
    <w:pPr>
      <w:spacing w:before="240" w:after="240"/>
    </w:pPr>
    <w:rPr>
      <w:lang w:val="en-GB"/>
    </w:rPr>
  </w:style>
  <w:style w:type="paragraph" w:styleId="Heading1">
    <w:name w:val="heading 1"/>
    <w:basedOn w:val="Normal"/>
    <w:next w:val="Normal"/>
    <w:uiPriority w:val="9"/>
    <w:qFormat/>
    <w:rsid w:val="00423CF6"/>
    <w:pPr>
      <w:keepNext/>
      <w:keepLines/>
      <w:spacing w:before="160" w:after="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10D95"/>
    <w:pPr>
      <w:ind w:left="720"/>
      <w:contextualSpacing/>
    </w:pPr>
  </w:style>
  <w:style w:type="table" w:styleId="TableGrid">
    <w:name w:val="Table Grid"/>
    <w:basedOn w:val="TableNormal"/>
    <w:uiPriority w:val="39"/>
    <w:rsid w:val="00D12E9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7AC1"/>
    <w:rPr>
      <w:color w:val="0000FF" w:themeColor="hyperlink"/>
      <w:u w:val="single"/>
    </w:rPr>
  </w:style>
  <w:style w:type="character" w:styleId="UnresolvedMention">
    <w:name w:val="Unresolved Mention"/>
    <w:basedOn w:val="DefaultParagraphFont"/>
    <w:uiPriority w:val="99"/>
    <w:semiHidden/>
    <w:unhideWhenUsed/>
    <w:rsid w:val="00997AC1"/>
    <w:rPr>
      <w:color w:val="605E5C"/>
      <w:shd w:val="clear" w:color="auto" w:fill="E1DFDD"/>
    </w:rPr>
  </w:style>
  <w:style w:type="character" w:styleId="FollowedHyperlink">
    <w:name w:val="FollowedHyperlink"/>
    <w:basedOn w:val="DefaultParagraphFont"/>
    <w:uiPriority w:val="99"/>
    <w:semiHidden/>
    <w:unhideWhenUsed/>
    <w:rsid w:val="00871706"/>
    <w:rPr>
      <w:color w:val="800080" w:themeColor="followedHyperlink"/>
      <w:u w:val="single"/>
    </w:rPr>
  </w:style>
  <w:style w:type="character" w:styleId="CommentReference">
    <w:name w:val="annotation reference"/>
    <w:basedOn w:val="DefaultParagraphFont"/>
    <w:uiPriority w:val="99"/>
    <w:semiHidden/>
    <w:unhideWhenUsed/>
    <w:rsid w:val="00267C5E"/>
    <w:rPr>
      <w:sz w:val="16"/>
      <w:szCs w:val="16"/>
    </w:rPr>
  </w:style>
  <w:style w:type="paragraph" w:styleId="CommentText">
    <w:name w:val="annotation text"/>
    <w:basedOn w:val="Normal"/>
    <w:link w:val="CommentTextChar"/>
    <w:uiPriority w:val="99"/>
    <w:semiHidden/>
    <w:unhideWhenUsed/>
    <w:rsid w:val="00267C5E"/>
    <w:pPr>
      <w:spacing w:line="240" w:lineRule="auto"/>
    </w:pPr>
    <w:rPr>
      <w:sz w:val="20"/>
      <w:szCs w:val="20"/>
    </w:rPr>
  </w:style>
  <w:style w:type="character" w:customStyle="1" w:styleId="CommentTextChar">
    <w:name w:val="Comment Text Char"/>
    <w:basedOn w:val="DefaultParagraphFont"/>
    <w:link w:val="CommentText"/>
    <w:uiPriority w:val="99"/>
    <w:semiHidden/>
    <w:rsid w:val="00267C5E"/>
    <w:rPr>
      <w:sz w:val="20"/>
      <w:szCs w:val="20"/>
    </w:rPr>
  </w:style>
  <w:style w:type="paragraph" w:styleId="CommentSubject">
    <w:name w:val="annotation subject"/>
    <w:basedOn w:val="CommentText"/>
    <w:next w:val="CommentText"/>
    <w:link w:val="CommentSubjectChar"/>
    <w:uiPriority w:val="99"/>
    <w:semiHidden/>
    <w:unhideWhenUsed/>
    <w:rsid w:val="00267C5E"/>
    <w:rPr>
      <w:b/>
      <w:bCs/>
    </w:rPr>
  </w:style>
  <w:style w:type="character" w:customStyle="1" w:styleId="CommentSubjectChar">
    <w:name w:val="Comment Subject Char"/>
    <w:basedOn w:val="CommentTextChar"/>
    <w:link w:val="CommentSubject"/>
    <w:uiPriority w:val="99"/>
    <w:semiHidden/>
    <w:rsid w:val="00267C5E"/>
    <w:rPr>
      <w:b/>
      <w:bCs/>
      <w:sz w:val="20"/>
      <w:szCs w:val="20"/>
    </w:rPr>
  </w:style>
  <w:style w:type="paragraph" w:styleId="BalloonText">
    <w:name w:val="Balloon Text"/>
    <w:basedOn w:val="Normal"/>
    <w:link w:val="BalloonTextChar"/>
    <w:uiPriority w:val="99"/>
    <w:semiHidden/>
    <w:unhideWhenUsed/>
    <w:rsid w:val="00267C5E"/>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67C5E"/>
    <w:rPr>
      <w:rFonts w:ascii="Times New Roman" w:hAnsi="Times New Roman" w:cs="Times New Roman"/>
      <w:sz w:val="18"/>
      <w:szCs w:val="18"/>
    </w:rPr>
  </w:style>
  <w:style w:type="character" w:customStyle="1" w:styleId="apple-converted-space">
    <w:name w:val="apple-converted-space"/>
    <w:basedOn w:val="DefaultParagraphFont"/>
    <w:rsid w:val="00267C5E"/>
  </w:style>
  <w:style w:type="paragraph" w:styleId="NormalWeb">
    <w:name w:val="Normal (Web)"/>
    <w:basedOn w:val="Normal"/>
    <w:uiPriority w:val="99"/>
    <w:semiHidden/>
    <w:unhideWhenUsed/>
    <w:rsid w:val="00A3632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D3DE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D3DE4"/>
    <w:rPr>
      <w:lang w:val="en-GB"/>
    </w:rPr>
  </w:style>
  <w:style w:type="paragraph" w:styleId="Footer">
    <w:name w:val="footer"/>
    <w:basedOn w:val="Normal"/>
    <w:link w:val="FooterChar"/>
    <w:uiPriority w:val="99"/>
    <w:unhideWhenUsed/>
    <w:rsid w:val="00DD3DE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D3DE4"/>
    <w:rPr>
      <w:lang w:val="en-GB"/>
    </w:rPr>
  </w:style>
  <w:style w:type="character" w:styleId="Emphasis">
    <w:name w:val="Emphasis"/>
    <w:basedOn w:val="DefaultParagraphFont"/>
    <w:uiPriority w:val="20"/>
    <w:qFormat/>
    <w:rsid w:val="00D0108C"/>
    <w:rPr>
      <w:i/>
      <w:iCs/>
    </w:rPr>
  </w:style>
  <w:style w:type="character" w:customStyle="1" w:styleId="highwire-citation-authors">
    <w:name w:val="highwire-citation-authors"/>
    <w:basedOn w:val="DefaultParagraphFont"/>
    <w:rsid w:val="00D0108C"/>
  </w:style>
  <w:style w:type="character" w:customStyle="1" w:styleId="highwire-citation-author">
    <w:name w:val="highwire-citation-author"/>
    <w:basedOn w:val="DefaultParagraphFont"/>
    <w:rsid w:val="00D0108C"/>
  </w:style>
  <w:style w:type="character" w:customStyle="1" w:styleId="nlm-surname">
    <w:name w:val="nlm-surname"/>
    <w:basedOn w:val="DefaultParagraphFont"/>
    <w:rsid w:val="00D0108C"/>
  </w:style>
  <w:style w:type="character" w:customStyle="1" w:styleId="citation-et">
    <w:name w:val="citation-et"/>
    <w:basedOn w:val="DefaultParagraphFont"/>
    <w:rsid w:val="00D0108C"/>
  </w:style>
  <w:style w:type="character" w:customStyle="1" w:styleId="highwire-cite-metadata-journal">
    <w:name w:val="highwire-cite-metadata-journal"/>
    <w:basedOn w:val="DefaultParagraphFont"/>
    <w:rsid w:val="00D0108C"/>
  </w:style>
  <w:style w:type="character" w:customStyle="1" w:styleId="highwire-cite-metadata-year">
    <w:name w:val="highwire-cite-metadata-year"/>
    <w:basedOn w:val="DefaultParagraphFont"/>
    <w:rsid w:val="00D0108C"/>
  </w:style>
  <w:style w:type="character" w:customStyle="1" w:styleId="highwire-cite-metadata-volume">
    <w:name w:val="highwire-cite-metadata-volume"/>
    <w:basedOn w:val="DefaultParagraphFont"/>
    <w:rsid w:val="00D0108C"/>
  </w:style>
  <w:style w:type="character" w:customStyle="1" w:styleId="highwire-cite-metadata-pages">
    <w:name w:val="highwire-cite-metadata-pages"/>
    <w:basedOn w:val="DefaultParagraphFont"/>
    <w:rsid w:val="00D0108C"/>
  </w:style>
  <w:style w:type="character" w:styleId="PageNumber">
    <w:name w:val="page number"/>
    <w:basedOn w:val="DefaultParagraphFont"/>
    <w:uiPriority w:val="99"/>
    <w:semiHidden/>
    <w:unhideWhenUsed/>
    <w:rsid w:val="0035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67469">
      <w:bodyDiv w:val="1"/>
      <w:marLeft w:val="0"/>
      <w:marRight w:val="0"/>
      <w:marTop w:val="0"/>
      <w:marBottom w:val="0"/>
      <w:divBdr>
        <w:top w:val="none" w:sz="0" w:space="0" w:color="auto"/>
        <w:left w:val="none" w:sz="0" w:space="0" w:color="auto"/>
        <w:bottom w:val="none" w:sz="0" w:space="0" w:color="auto"/>
        <w:right w:val="none" w:sz="0" w:space="0" w:color="auto"/>
      </w:divBdr>
    </w:div>
    <w:div w:id="79916188">
      <w:bodyDiv w:val="1"/>
      <w:marLeft w:val="0"/>
      <w:marRight w:val="0"/>
      <w:marTop w:val="0"/>
      <w:marBottom w:val="0"/>
      <w:divBdr>
        <w:top w:val="none" w:sz="0" w:space="0" w:color="auto"/>
        <w:left w:val="none" w:sz="0" w:space="0" w:color="auto"/>
        <w:bottom w:val="none" w:sz="0" w:space="0" w:color="auto"/>
        <w:right w:val="none" w:sz="0" w:space="0" w:color="auto"/>
      </w:divBdr>
    </w:div>
    <w:div w:id="284965513">
      <w:bodyDiv w:val="1"/>
      <w:marLeft w:val="0"/>
      <w:marRight w:val="0"/>
      <w:marTop w:val="0"/>
      <w:marBottom w:val="0"/>
      <w:divBdr>
        <w:top w:val="none" w:sz="0" w:space="0" w:color="auto"/>
        <w:left w:val="none" w:sz="0" w:space="0" w:color="auto"/>
        <w:bottom w:val="none" w:sz="0" w:space="0" w:color="auto"/>
        <w:right w:val="none" w:sz="0" w:space="0" w:color="auto"/>
      </w:divBdr>
      <w:divsChild>
        <w:div w:id="779304191">
          <w:marLeft w:val="0"/>
          <w:marRight w:val="0"/>
          <w:marTop w:val="0"/>
          <w:marBottom w:val="0"/>
          <w:divBdr>
            <w:top w:val="none" w:sz="0" w:space="0" w:color="auto"/>
            <w:left w:val="none" w:sz="0" w:space="0" w:color="auto"/>
            <w:bottom w:val="none" w:sz="0" w:space="0" w:color="auto"/>
            <w:right w:val="none" w:sz="0" w:space="0" w:color="auto"/>
          </w:divBdr>
          <w:divsChild>
            <w:div w:id="2081825409">
              <w:marLeft w:val="0"/>
              <w:marRight w:val="0"/>
              <w:marTop w:val="0"/>
              <w:marBottom w:val="0"/>
              <w:divBdr>
                <w:top w:val="none" w:sz="0" w:space="0" w:color="auto"/>
                <w:left w:val="none" w:sz="0" w:space="0" w:color="auto"/>
                <w:bottom w:val="none" w:sz="0" w:space="0" w:color="auto"/>
                <w:right w:val="none" w:sz="0" w:space="0" w:color="auto"/>
              </w:divBdr>
              <w:divsChild>
                <w:div w:id="17873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362199">
      <w:bodyDiv w:val="1"/>
      <w:marLeft w:val="0"/>
      <w:marRight w:val="0"/>
      <w:marTop w:val="0"/>
      <w:marBottom w:val="0"/>
      <w:divBdr>
        <w:top w:val="none" w:sz="0" w:space="0" w:color="auto"/>
        <w:left w:val="none" w:sz="0" w:space="0" w:color="auto"/>
        <w:bottom w:val="none" w:sz="0" w:space="0" w:color="auto"/>
        <w:right w:val="none" w:sz="0" w:space="0" w:color="auto"/>
      </w:divBdr>
      <w:divsChild>
        <w:div w:id="325984816">
          <w:marLeft w:val="0"/>
          <w:marRight w:val="0"/>
          <w:marTop w:val="0"/>
          <w:marBottom w:val="0"/>
          <w:divBdr>
            <w:top w:val="none" w:sz="0" w:space="0" w:color="auto"/>
            <w:left w:val="none" w:sz="0" w:space="0" w:color="auto"/>
            <w:bottom w:val="none" w:sz="0" w:space="0" w:color="auto"/>
            <w:right w:val="none" w:sz="0" w:space="0" w:color="auto"/>
          </w:divBdr>
          <w:divsChild>
            <w:div w:id="626929277">
              <w:marLeft w:val="0"/>
              <w:marRight w:val="0"/>
              <w:marTop w:val="0"/>
              <w:marBottom w:val="0"/>
              <w:divBdr>
                <w:top w:val="none" w:sz="0" w:space="0" w:color="auto"/>
                <w:left w:val="none" w:sz="0" w:space="0" w:color="auto"/>
                <w:bottom w:val="none" w:sz="0" w:space="0" w:color="auto"/>
                <w:right w:val="none" w:sz="0" w:space="0" w:color="auto"/>
              </w:divBdr>
              <w:divsChild>
                <w:div w:id="455955673">
                  <w:marLeft w:val="0"/>
                  <w:marRight w:val="0"/>
                  <w:marTop w:val="0"/>
                  <w:marBottom w:val="0"/>
                  <w:divBdr>
                    <w:top w:val="none" w:sz="0" w:space="0" w:color="auto"/>
                    <w:left w:val="none" w:sz="0" w:space="0" w:color="auto"/>
                    <w:bottom w:val="none" w:sz="0" w:space="0" w:color="auto"/>
                    <w:right w:val="none" w:sz="0" w:space="0" w:color="auto"/>
                  </w:divBdr>
                  <w:divsChild>
                    <w:div w:id="172617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462763">
      <w:bodyDiv w:val="1"/>
      <w:marLeft w:val="0"/>
      <w:marRight w:val="0"/>
      <w:marTop w:val="0"/>
      <w:marBottom w:val="0"/>
      <w:divBdr>
        <w:top w:val="none" w:sz="0" w:space="0" w:color="auto"/>
        <w:left w:val="none" w:sz="0" w:space="0" w:color="auto"/>
        <w:bottom w:val="none" w:sz="0" w:space="0" w:color="auto"/>
        <w:right w:val="none" w:sz="0" w:space="0" w:color="auto"/>
      </w:divBdr>
    </w:div>
    <w:div w:id="618221240">
      <w:bodyDiv w:val="1"/>
      <w:marLeft w:val="0"/>
      <w:marRight w:val="0"/>
      <w:marTop w:val="0"/>
      <w:marBottom w:val="0"/>
      <w:divBdr>
        <w:top w:val="none" w:sz="0" w:space="0" w:color="auto"/>
        <w:left w:val="none" w:sz="0" w:space="0" w:color="auto"/>
        <w:bottom w:val="none" w:sz="0" w:space="0" w:color="auto"/>
        <w:right w:val="none" w:sz="0" w:space="0" w:color="auto"/>
      </w:divBdr>
    </w:div>
    <w:div w:id="668096977">
      <w:bodyDiv w:val="1"/>
      <w:marLeft w:val="0"/>
      <w:marRight w:val="0"/>
      <w:marTop w:val="0"/>
      <w:marBottom w:val="0"/>
      <w:divBdr>
        <w:top w:val="none" w:sz="0" w:space="0" w:color="auto"/>
        <w:left w:val="none" w:sz="0" w:space="0" w:color="auto"/>
        <w:bottom w:val="none" w:sz="0" w:space="0" w:color="auto"/>
        <w:right w:val="none" w:sz="0" w:space="0" w:color="auto"/>
      </w:divBdr>
      <w:divsChild>
        <w:div w:id="1945916923">
          <w:marLeft w:val="0"/>
          <w:marRight w:val="0"/>
          <w:marTop w:val="0"/>
          <w:marBottom w:val="0"/>
          <w:divBdr>
            <w:top w:val="none" w:sz="0" w:space="0" w:color="auto"/>
            <w:left w:val="none" w:sz="0" w:space="0" w:color="auto"/>
            <w:bottom w:val="none" w:sz="0" w:space="0" w:color="auto"/>
            <w:right w:val="none" w:sz="0" w:space="0" w:color="auto"/>
          </w:divBdr>
          <w:divsChild>
            <w:div w:id="26490096">
              <w:marLeft w:val="0"/>
              <w:marRight w:val="0"/>
              <w:marTop w:val="0"/>
              <w:marBottom w:val="0"/>
              <w:divBdr>
                <w:top w:val="none" w:sz="0" w:space="0" w:color="auto"/>
                <w:left w:val="none" w:sz="0" w:space="0" w:color="auto"/>
                <w:bottom w:val="none" w:sz="0" w:space="0" w:color="auto"/>
                <w:right w:val="none" w:sz="0" w:space="0" w:color="auto"/>
              </w:divBdr>
              <w:divsChild>
                <w:div w:id="135612701">
                  <w:marLeft w:val="0"/>
                  <w:marRight w:val="0"/>
                  <w:marTop w:val="0"/>
                  <w:marBottom w:val="0"/>
                  <w:divBdr>
                    <w:top w:val="none" w:sz="0" w:space="0" w:color="auto"/>
                    <w:left w:val="none" w:sz="0" w:space="0" w:color="auto"/>
                    <w:bottom w:val="none" w:sz="0" w:space="0" w:color="auto"/>
                    <w:right w:val="none" w:sz="0" w:space="0" w:color="auto"/>
                  </w:divBdr>
                  <w:divsChild>
                    <w:div w:id="17657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039312">
      <w:bodyDiv w:val="1"/>
      <w:marLeft w:val="0"/>
      <w:marRight w:val="0"/>
      <w:marTop w:val="0"/>
      <w:marBottom w:val="0"/>
      <w:divBdr>
        <w:top w:val="none" w:sz="0" w:space="0" w:color="auto"/>
        <w:left w:val="none" w:sz="0" w:space="0" w:color="auto"/>
        <w:bottom w:val="none" w:sz="0" w:space="0" w:color="auto"/>
        <w:right w:val="none" w:sz="0" w:space="0" w:color="auto"/>
      </w:divBdr>
    </w:div>
    <w:div w:id="713504525">
      <w:bodyDiv w:val="1"/>
      <w:marLeft w:val="0"/>
      <w:marRight w:val="0"/>
      <w:marTop w:val="0"/>
      <w:marBottom w:val="0"/>
      <w:divBdr>
        <w:top w:val="none" w:sz="0" w:space="0" w:color="auto"/>
        <w:left w:val="none" w:sz="0" w:space="0" w:color="auto"/>
        <w:bottom w:val="none" w:sz="0" w:space="0" w:color="auto"/>
        <w:right w:val="none" w:sz="0" w:space="0" w:color="auto"/>
      </w:divBdr>
    </w:div>
    <w:div w:id="864438657">
      <w:bodyDiv w:val="1"/>
      <w:marLeft w:val="0"/>
      <w:marRight w:val="0"/>
      <w:marTop w:val="0"/>
      <w:marBottom w:val="0"/>
      <w:divBdr>
        <w:top w:val="none" w:sz="0" w:space="0" w:color="auto"/>
        <w:left w:val="none" w:sz="0" w:space="0" w:color="auto"/>
        <w:bottom w:val="none" w:sz="0" w:space="0" w:color="auto"/>
        <w:right w:val="none" w:sz="0" w:space="0" w:color="auto"/>
      </w:divBdr>
    </w:div>
    <w:div w:id="998385960">
      <w:bodyDiv w:val="1"/>
      <w:marLeft w:val="0"/>
      <w:marRight w:val="0"/>
      <w:marTop w:val="0"/>
      <w:marBottom w:val="0"/>
      <w:divBdr>
        <w:top w:val="none" w:sz="0" w:space="0" w:color="auto"/>
        <w:left w:val="none" w:sz="0" w:space="0" w:color="auto"/>
        <w:bottom w:val="none" w:sz="0" w:space="0" w:color="auto"/>
        <w:right w:val="none" w:sz="0" w:space="0" w:color="auto"/>
      </w:divBdr>
    </w:div>
    <w:div w:id="1088191895">
      <w:bodyDiv w:val="1"/>
      <w:marLeft w:val="0"/>
      <w:marRight w:val="0"/>
      <w:marTop w:val="0"/>
      <w:marBottom w:val="0"/>
      <w:divBdr>
        <w:top w:val="none" w:sz="0" w:space="0" w:color="auto"/>
        <w:left w:val="none" w:sz="0" w:space="0" w:color="auto"/>
        <w:bottom w:val="none" w:sz="0" w:space="0" w:color="auto"/>
        <w:right w:val="none" w:sz="0" w:space="0" w:color="auto"/>
      </w:divBdr>
    </w:div>
    <w:div w:id="1507163352">
      <w:bodyDiv w:val="1"/>
      <w:marLeft w:val="0"/>
      <w:marRight w:val="0"/>
      <w:marTop w:val="0"/>
      <w:marBottom w:val="0"/>
      <w:divBdr>
        <w:top w:val="none" w:sz="0" w:space="0" w:color="auto"/>
        <w:left w:val="none" w:sz="0" w:space="0" w:color="auto"/>
        <w:bottom w:val="none" w:sz="0" w:space="0" w:color="auto"/>
        <w:right w:val="none" w:sz="0" w:space="0" w:color="auto"/>
      </w:divBdr>
    </w:div>
    <w:div w:id="1615362067">
      <w:bodyDiv w:val="1"/>
      <w:marLeft w:val="0"/>
      <w:marRight w:val="0"/>
      <w:marTop w:val="0"/>
      <w:marBottom w:val="0"/>
      <w:divBdr>
        <w:top w:val="none" w:sz="0" w:space="0" w:color="auto"/>
        <w:left w:val="none" w:sz="0" w:space="0" w:color="auto"/>
        <w:bottom w:val="none" w:sz="0" w:space="0" w:color="auto"/>
        <w:right w:val="none" w:sz="0" w:space="0" w:color="auto"/>
      </w:divBdr>
      <w:divsChild>
        <w:div w:id="573317038">
          <w:marLeft w:val="0"/>
          <w:marRight w:val="0"/>
          <w:marTop w:val="0"/>
          <w:marBottom w:val="0"/>
          <w:divBdr>
            <w:top w:val="none" w:sz="0" w:space="0" w:color="auto"/>
            <w:left w:val="none" w:sz="0" w:space="0" w:color="auto"/>
            <w:bottom w:val="none" w:sz="0" w:space="0" w:color="auto"/>
            <w:right w:val="none" w:sz="0" w:space="0" w:color="auto"/>
          </w:divBdr>
          <w:divsChild>
            <w:div w:id="37706085">
              <w:marLeft w:val="0"/>
              <w:marRight w:val="0"/>
              <w:marTop w:val="0"/>
              <w:marBottom w:val="0"/>
              <w:divBdr>
                <w:top w:val="none" w:sz="0" w:space="0" w:color="auto"/>
                <w:left w:val="none" w:sz="0" w:space="0" w:color="auto"/>
                <w:bottom w:val="none" w:sz="0" w:space="0" w:color="auto"/>
                <w:right w:val="none" w:sz="0" w:space="0" w:color="auto"/>
              </w:divBdr>
              <w:divsChild>
                <w:div w:id="1219627134">
                  <w:marLeft w:val="0"/>
                  <w:marRight w:val="0"/>
                  <w:marTop w:val="0"/>
                  <w:marBottom w:val="0"/>
                  <w:divBdr>
                    <w:top w:val="none" w:sz="0" w:space="0" w:color="auto"/>
                    <w:left w:val="none" w:sz="0" w:space="0" w:color="auto"/>
                    <w:bottom w:val="none" w:sz="0" w:space="0" w:color="auto"/>
                    <w:right w:val="none" w:sz="0" w:space="0" w:color="auto"/>
                  </w:divBdr>
                </w:div>
                <w:div w:id="1269240048">
                  <w:marLeft w:val="0"/>
                  <w:marRight w:val="0"/>
                  <w:marTop w:val="0"/>
                  <w:marBottom w:val="0"/>
                  <w:divBdr>
                    <w:top w:val="none" w:sz="0" w:space="0" w:color="auto"/>
                    <w:left w:val="none" w:sz="0" w:space="0" w:color="auto"/>
                    <w:bottom w:val="none" w:sz="0" w:space="0" w:color="auto"/>
                    <w:right w:val="none" w:sz="0" w:space="0" w:color="auto"/>
                  </w:divBdr>
                </w:div>
                <w:div w:id="15723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0893">
      <w:bodyDiv w:val="1"/>
      <w:marLeft w:val="0"/>
      <w:marRight w:val="0"/>
      <w:marTop w:val="0"/>
      <w:marBottom w:val="0"/>
      <w:divBdr>
        <w:top w:val="none" w:sz="0" w:space="0" w:color="auto"/>
        <w:left w:val="none" w:sz="0" w:space="0" w:color="auto"/>
        <w:bottom w:val="none" w:sz="0" w:space="0" w:color="auto"/>
        <w:right w:val="none" w:sz="0" w:space="0" w:color="auto"/>
      </w:divBdr>
    </w:div>
    <w:div w:id="1688411516">
      <w:bodyDiv w:val="1"/>
      <w:marLeft w:val="0"/>
      <w:marRight w:val="0"/>
      <w:marTop w:val="0"/>
      <w:marBottom w:val="0"/>
      <w:divBdr>
        <w:top w:val="none" w:sz="0" w:space="0" w:color="auto"/>
        <w:left w:val="none" w:sz="0" w:space="0" w:color="auto"/>
        <w:bottom w:val="none" w:sz="0" w:space="0" w:color="auto"/>
        <w:right w:val="none" w:sz="0" w:space="0" w:color="auto"/>
      </w:divBdr>
      <w:divsChild>
        <w:div w:id="914046683">
          <w:marLeft w:val="0"/>
          <w:marRight w:val="0"/>
          <w:marTop w:val="0"/>
          <w:marBottom w:val="0"/>
          <w:divBdr>
            <w:top w:val="none" w:sz="0" w:space="0" w:color="auto"/>
            <w:left w:val="none" w:sz="0" w:space="0" w:color="auto"/>
            <w:bottom w:val="none" w:sz="0" w:space="0" w:color="auto"/>
            <w:right w:val="none" w:sz="0" w:space="0" w:color="auto"/>
          </w:divBdr>
          <w:divsChild>
            <w:div w:id="1923488081">
              <w:marLeft w:val="0"/>
              <w:marRight w:val="0"/>
              <w:marTop w:val="0"/>
              <w:marBottom w:val="0"/>
              <w:divBdr>
                <w:top w:val="none" w:sz="0" w:space="0" w:color="auto"/>
                <w:left w:val="none" w:sz="0" w:space="0" w:color="auto"/>
                <w:bottom w:val="none" w:sz="0" w:space="0" w:color="auto"/>
                <w:right w:val="none" w:sz="0" w:space="0" w:color="auto"/>
              </w:divBdr>
              <w:divsChild>
                <w:div w:id="115493469">
                  <w:marLeft w:val="0"/>
                  <w:marRight w:val="0"/>
                  <w:marTop w:val="0"/>
                  <w:marBottom w:val="0"/>
                  <w:divBdr>
                    <w:top w:val="none" w:sz="0" w:space="0" w:color="auto"/>
                    <w:left w:val="none" w:sz="0" w:space="0" w:color="auto"/>
                    <w:bottom w:val="none" w:sz="0" w:space="0" w:color="auto"/>
                    <w:right w:val="none" w:sz="0" w:space="0" w:color="auto"/>
                  </w:divBdr>
                  <w:divsChild>
                    <w:div w:id="10059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08177">
      <w:bodyDiv w:val="1"/>
      <w:marLeft w:val="0"/>
      <w:marRight w:val="0"/>
      <w:marTop w:val="0"/>
      <w:marBottom w:val="0"/>
      <w:divBdr>
        <w:top w:val="none" w:sz="0" w:space="0" w:color="auto"/>
        <w:left w:val="none" w:sz="0" w:space="0" w:color="auto"/>
        <w:bottom w:val="none" w:sz="0" w:space="0" w:color="auto"/>
        <w:right w:val="none" w:sz="0" w:space="0" w:color="auto"/>
      </w:divBdr>
    </w:div>
    <w:div w:id="1783572317">
      <w:bodyDiv w:val="1"/>
      <w:marLeft w:val="0"/>
      <w:marRight w:val="0"/>
      <w:marTop w:val="0"/>
      <w:marBottom w:val="0"/>
      <w:divBdr>
        <w:top w:val="none" w:sz="0" w:space="0" w:color="auto"/>
        <w:left w:val="none" w:sz="0" w:space="0" w:color="auto"/>
        <w:bottom w:val="none" w:sz="0" w:space="0" w:color="auto"/>
        <w:right w:val="none" w:sz="0" w:space="0" w:color="auto"/>
      </w:divBdr>
    </w:div>
    <w:div w:id="1949848342">
      <w:bodyDiv w:val="1"/>
      <w:marLeft w:val="0"/>
      <w:marRight w:val="0"/>
      <w:marTop w:val="0"/>
      <w:marBottom w:val="0"/>
      <w:divBdr>
        <w:top w:val="none" w:sz="0" w:space="0" w:color="auto"/>
        <w:left w:val="none" w:sz="0" w:space="0" w:color="auto"/>
        <w:bottom w:val="none" w:sz="0" w:space="0" w:color="auto"/>
        <w:right w:val="none" w:sz="0" w:space="0" w:color="auto"/>
      </w:divBdr>
    </w:div>
    <w:div w:id="1966765426">
      <w:bodyDiv w:val="1"/>
      <w:marLeft w:val="0"/>
      <w:marRight w:val="0"/>
      <w:marTop w:val="0"/>
      <w:marBottom w:val="0"/>
      <w:divBdr>
        <w:top w:val="none" w:sz="0" w:space="0" w:color="auto"/>
        <w:left w:val="none" w:sz="0" w:space="0" w:color="auto"/>
        <w:bottom w:val="none" w:sz="0" w:space="0" w:color="auto"/>
        <w:right w:val="none" w:sz="0" w:space="0" w:color="auto"/>
      </w:divBdr>
    </w:div>
    <w:div w:id="1977368943">
      <w:bodyDiv w:val="1"/>
      <w:marLeft w:val="0"/>
      <w:marRight w:val="0"/>
      <w:marTop w:val="0"/>
      <w:marBottom w:val="0"/>
      <w:divBdr>
        <w:top w:val="none" w:sz="0" w:space="0" w:color="auto"/>
        <w:left w:val="none" w:sz="0" w:space="0" w:color="auto"/>
        <w:bottom w:val="none" w:sz="0" w:space="0" w:color="auto"/>
        <w:right w:val="none" w:sz="0" w:space="0" w:color="auto"/>
      </w:divBdr>
    </w:div>
    <w:div w:id="2128305491">
      <w:bodyDiv w:val="1"/>
      <w:marLeft w:val="0"/>
      <w:marRight w:val="0"/>
      <w:marTop w:val="0"/>
      <w:marBottom w:val="0"/>
      <w:divBdr>
        <w:top w:val="none" w:sz="0" w:space="0" w:color="auto"/>
        <w:left w:val="none" w:sz="0" w:space="0" w:color="auto"/>
        <w:bottom w:val="none" w:sz="0" w:space="0" w:color="auto"/>
        <w:right w:val="none" w:sz="0" w:space="0" w:color="auto"/>
      </w:divBdr>
      <w:divsChild>
        <w:div w:id="1451582130">
          <w:marLeft w:val="0"/>
          <w:marRight w:val="0"/>
          <w:marTop w:val="0"/>
          <w:marBottom w:val="0"/>
          <w:divBdr>
            <w:top w:val="none" w:sz="0" w:space="0" w:color="auto"/>
            <w:left w:val="none" w:sz="0" w:space="0" w:color="auto"/>
            <w:bottom w:val="none" w:sz="0" w:space="0" w:color="auto"/>
            <w:right w:val="none" w:sz="0" w:space="0" w:color="auto"/>
          </w:divBdr>
          <w:divsChild>
            <w:div w:id="333264698">
              <w:marLeft w:val="0"/>
              <w:marRight w:val="0"/>
              <w:marTop w:val="0"/>
              <w:marBottom w:val="0"/>
              <w:divBdr>
                <w:top w:val="none" w:sz="0" w:space="0" w:color="auto"/>
                <w:left w:val="none" w:sz="0" w:space="0" w:color="auto"/>
                <w:bottom w:val="none" w:sz="0" w:space="0" w:color="auto"/>
                <w:right w:val="none" w:sz="0" w:space="0" w:color="auto"/>
              </w:divBdr>
              <w:divsChild>
                <w:div w:id="1365516624">
                  <w:marLeft w:val="0"/>
                  <w:marRight w:val="0"/>
                  <w:marTop w:val="0"/>
                  <w:marBottom w:val="0"/>
                  <w:divBdr>
                    <w:top w:val="none" w:sz="0" w:space="0" w:color="auto"/>
                    <w:left w:val="none" w:sz="0" w:space="0" w:color="auto"/>
                    <w:bottom w:val="none" w:sz="0" w:space="0" w:color="auto"/>
                    <w:right w:val="none" w:sz="0" w:space="0" w:color="auto"/>
                  </w:divBdr>
                  <w:divsChild>
                    <w:div w:id="14261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medjournal.com/article/S0954-6111(99)90266-4/pdf" TargetMode="External"/><Relationship Id="rId5" Type="http://schemas.openxmlformats.org/officeDocument/2006/relationships/webSettings" Target="webSettings.xml"/><Relationship Id="rId10" Type="http://schemas.openxmlformats.org/officeDocument/2006/relationships/hyperlink" Target="https://mrc.ukri.org/research/facilities-and-resources-for-researchers/mrc-scales/mrc-dyspnoea-scale-mrc-breathlessness-scale/"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A3DDB-093B-7941-9F8C-68BAB864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11633</Words>
  <Characters>58983</Characters>
  <Application>Microsoft Office Word</Application>
  <DocSecurity>0</DocSecurity>
  <Lines>1512</Lines>
  <Paragraphs>1069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Trish Greenhalgh</cp:lastModifiedBy>
  <cp:revision>6</cp:revision>
  <cp:lastPrinted>2020-03-20T16:45:00Z</cp:lastPrinted>
  <dcterms:created xsi:type="dcterms:W3CDTF">2020-03-20T15:25:00Z</dcterms:created>
  <dcterms:modified xsi:type="dcterms:W3CDTF">2020-03-20T16:53:00Z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vt:lpwstr>
  </property>
  <property fmtid="{D5CDD505-2E9C-101B-9397-08002B2CF9AE}" pid="9" name="Mendeley Recent Style Name 3_1">
    <vt:lpwstr>BMJ</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e04877bd-9103-3968-92c1-4b0c9a0bfc71</vt:lpwstr>
  </property>
  <property fmtid="{D5CDD505-2E9C-101B-9397-08002B2CF9AE}" pid="24" name="Mendeley Citation Style_1">
    <vt:lpwstr>http://www.zotero.org/styles/vancouver-superscript</vt:lpwstr>
  </property>
</Properties>
</file>